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1B2EE98A"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547AA2">
        <w:rPr>
          <w:b/>
          <w:i/>
          <w:iCs/>
          <w:sz w:val="36"/>
          <w:szCs w:val="36"/>
        </w:rPr>
        <w:t xml:space="preserve">03 </w:t>
      </w:r>
      <w:r w:rsidR="00EC5076">
        <w:rPr>
          <w:b/>
          <w:i/>
          <w:iCs/>
          <w:sz w:val="36"/>
          <w:szCs w:val="36"/>
        </w:rPr>
        <w:t>–</w:t>
      </w:r>
      <w:r w:rsidR="00392F2E">
        <w:rPr>
          <w:b/>
          <w:i/>
          <w:iCs/>
          <w:sz w:val="36"/>
          <w:szCs w:val="36"/>
        </w:rPr>
        <w:t xml:space="preserve"> </w:t>
      </w:r>
      <w:r w:rsidR="00547AA2">
        <w:rPr>
          <w:b/>
          <w:i/>
          <w:iCs/>
          <w:sz w:val="36"/>
          <w:szCs w:val="36"/>
        </w:rPr>
        <w:t>07</w:t>
      </w:r>
      <w:r w:rsidR="00A96541">
        <w:rPr>
          <w:b/>
          <w:i/>
          <w:iCs/>
          <w:sz w:val="36"/>
          <w:szCs w:val="36"/>
        </w:rPr>
        <w:t xml:space="preserve"> </w:t>
      </w:r>
      <w:r w:rsidR="00547AA2">
        <w:rPr>
          <w:b/>
          <w:i/>
          <w:iCs/>
          <w:sz w:val="36"/>
          <w:szCs w:val="36"/>
        </w:rPr>
        <w:t>лютого</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6CF85279"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w:t>
      </w:r>
      <w:r w:rsidR="00375EC3">
        <w:rPr>
          <w:b/>
          <w:sz w:val="36"/>
          <w:szCs w:val="36"/>
        </w:rPr>
        <w:t>н</w:t>
      </w:r>
      <w:r w:rsidR="00375EC3" w:rsidRPr="00375EC3">
        <w:rPr>
          <w:b/>
          <w:sz w:val="36"/>
          <w:szCs w:val="36"/>
        </w:rPr>
        <w:t>аказ</w:t>
      </w:r>
      <w:r w:rsidR="00375EC3">
        <w:rPr>
          <w:b/>
          <w:sz w:val="36"/>
          <w:szCs w:val="36"/>
        </w:rPr>
        <w:t>у</w:t>
      </w:r>
      <w:r w:rsidR="00375EC3" w:rsidRPr="00375EC3">
        <w:rPr>
          <w:b/>
          <w:sz w:val="36"/>
          <w:szCs w:val="36"/>
        </w:rPr>
        <w:t xml:space="preserve"> </w:t>
      </w:r>
      <w:r w:rsidR="00375EC3">
        <w:rPr>
          <w:b/>
          <w:sz w:val="36"/>
          <w:szCs w:val="36"/>
        </w:rPr>
        <w:t>«</w:t>
      </w:r>
      <w:r w:rsidR="00375EC3" w:rsidRPr="00375EC3">
        <w:rPr>
          <w:b/>
          <w:sz w:val="36"/>
          <w:szCs w:val="36"/>
        </w:rPr>
        <w:t>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375EC3">
        <w:rPr>
          <w:b/>
          <w:sz w:val="36"/>
          <w:szCs w:val="36"/>
        </w:rPr>
        <w:t>1099</w:t>
      </w:r>
      <w:r w:rsidRPr="00AE6257">
        <w:rPr>
          <w:b/>
          <w:sz w:val="36"/>
          <w:szCs w:val="36"/>
        </w:rPr>
        <w:t xml:space="preserve">, розробник </w:t>
      </w:r>
      <w:r w:rsidR="00375EC3">
        <w:rPr>
          <w:b/>
          <w:sz w:val="36"/>
          <w:szCs w:val="36"/>
        </w:rPr>
        <w:t>–</w:t>
      </w:r>
      <w:r w:rsidRPr="00AE6257">
        <w:rPr>
          <w:b/>
          <w:sz w:val="36"/>
          <w:szCs w:val="36"/>
        </w:rPr>
        <w:t xml:space="preserve"> </w:t>
      </w:r>
      <w:r w:rsidR="00375EC3">
        <w:rPr>
          <w:b/>
          <w:sz w:val="36"/>
          <w:szCs w:val="36"/>
        </w:rPr>
        <w:t>Мінфін (</w:t>
      </w:r>
      <w:proofErr w:type="spellStart"/>
      <w:r w:rsidR="00375EC3">
        <w:rPr>
          <w:b/>
          <w:sz w:val="36"/>
          <w:szCs w:val="36"/>
        </w:rPr>
        <w:t>проєкт</w:t>
      </w:r>
      <w:proofErr w:type="spellEnd"/>
      <w:r w:rsidR="00375EC3">
        <w:rPr>
          <w:b/>
          <w:sz w:val="36"/>
          <w:szCs w:val="36"/>
        </w:rPr>
        <w:t xml:space="preserve"> доопрацьований)</w:t>
      </w:r>
      <w:r w:rsidRPr="00AE6257">
        <w:rPr>
          <w:b/>
          <w:sz w:val="36"/>
          <w:szCs w:val="36"/>
        </w:rPr>
        <w:t>.</w:t>
      </w:r>
    </w:p>
    <w:p w14:paraId="5E4E3AAC" w14:textId="7DF8DE14" w:rsidR="001E0198" w:rsidRDefault="005751C0" w:rsidP="003B39FB">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9834C6" w:rsidRPr="009834C6">
        <w:rPr>
          <w:bCs/>
          <w:szCs w:val="28"/>
        </w:rPr>
        <w:t>виконання норм статті 39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які вводяться в дію з 01 січня 2025 року.</w:t>
      </w:r>
    </w:p>
    <w:p w14:paraId="1EE399C0" w14:textId="77777777" w:rsidR="004C42D2" w:rsidRPr="004C42D2" w:rsidRDefault="004C42D2" w:rsidP="004C42D2">
      <w:pPr>
        <w:widowControl w:val="0"/>
        <w:ind w:right="102" w:firstLine="709"/>
        <w:jc w:val="both"/>
        <w:rPr>
          <w:bCs/>
          <w:szCs w:val="28"/>
        </w:rPr>
      </w:pPr>
      <w:proofErr w:type="spellStart"/>
      <w:r w:rsidRPr="004C42D2">
        <w:rPr>
          <w:bCs/>
          <w:szCs w:val="28"/>
        </w:rPr>
        <w:t>Проєктом</w:t>
      </w:r>
      <w:proofErr w:type="spellEnd"/>
      <w:r w:rsidRPr="004C42D2">
        <w:rPr>
          <w:bCs/>
          <w:szCs w:val="28"/>
        </w:rPr>
        <w:t xml:space="preserve"> наказу передбачено:</w:t>
      </w:r>
    </w:p>
    <w:p w14:paraId="1C8E2D06" w14:textId="081EF275" w:rsidR="004C42D2" w:rsidRPr="004C42D2" w:rsidRDefault="004C42D2" w:rsidP="004C42D2">
      <w:pPr>
        <w:pStyle w:val="ad"/>
        <w:widowControl w:val="0"/>
        <w:numPr>
          <w:ilvl w:val="0"/>
          <w:numId w:val="9"/>
        </w:numPr>
        <w:ind w:right="102"/>
        <w:jc w:val="both"/>
        <w:rPr>
          <w:bCs/>
          <w:szCs w:val="28"/>
        </w:rPr>
      </w:pPr>
      <w:r w:rsidRPr="004C42D2">
        <w:rPr>
          <w:bCs/>
          <w:szCs w:val="28"/>
        </w:rPr>
        <w:t>визнати такими, що втратив чинність, наказ Державної податкової адміністрації України від 28 травня 2002 року № 251;</w:t>
      </w:r>
    </w:p>
    <w:p w14:paraId="15620398" w14:textId="77777777" w:rsidR="004C42D2" w:rsidRPr="004C42D2" w:rsidRDefault="004C42D2" w:rsidP="004C42D2">
      <w:pPr>
        <w:pStyle w:val="ad"/>
        <w:widowControl w:val="0"/>
        <w:numPr>
          <w:ilvl w:val="0"/>
          <w:numId w:val="9"/>
        </w:numPr>
        <w:ind w:right="102"/>
        <w:jc w:val="both"/>
        <w:rPr>
          <w:bCs/>
          <w:szCs w:val="28"/>
        </w:rPr>
      </w:pPr>
      <w:r w:rsidRPr="004C42D2">
        <w:rPr>
          <w:bCs/>
          <w:szCs w:val="28"/>
        </w:rPr>
        <w:t>встановити набрання чинності наказом з дня його офіційного опублікування;</w:t>
      </w:r>
    </w:p>
    <w:p w14:paraId="6C308B79" w14:textId="77777777" w:rsidR="004C42D2" w:rsidRPr="004C42D2" w:rsidRDefault="004C42D2" w:rsidP="004C42D2">
      <w:pPr>
        <w:pStyle w:val="ad"/>
        <w:widowControl w:val="0"/>
        <w:numPr>
          <w:ilvl w:val="0"/>
          <w:numId w:val="9"/>
        </w:numPr>
        <w:ind w:right="102"/>
        <w:jc w:val="both"/>
        <w:rPr>
          <w:bCs/>
          <w:szCs w:val="28"/>
        </w:rPr>
      </w:pPr>
      <w:r w:rsidRPr="004C42D2">
        <w:rPr>
          <w:bCs/>
          <w:szCs w:val="28"/>
        </w:rPr>
        <w:t>затвердити:</w:t>
      </w:r>
    </w:p>
    <w:p w14:paraId="1D639613" w14:textId="77777777" w:rsidR="004C42D2" w:rsidRPr="004C42D2" w:rsidRDefault="004C42D2" w:rsidP="004C42D2">
      <w:pPr>
        <w:pStyle w:val="ad"/>
        <w:widowControl w:val="0"/>
        <w:numPr>
          <w:ilvl w:val="0"/>
          <w:numId w:val="9"/>
        </w:numPr>
        <w:ind w:right="102"/>
        <w:jc w:val="both"/>
        <w:rPr>
          <w:bCs/>
          <w:szCs w:val="28"/>
        </w:rPr>
      </w:pPr>
      <w:r w:rsidRPr="004C42D2">
        <w:rPr>
          <w:bCs/>
          <w:szCs w:val="28"/>
        </w:rPr>
        <w:t xml:space="preserve">форму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w:t>
      </w:r>
    </w:p>
    <w:p w14:paraId="108106C9" w14:textId="77777777" w:rsidR="004C42D2" w:rsidRPr="004C42D2" w:rsidRDefault="004C42D2" w:rsidP="004C42D2">
      <w:pPr>
        <w:pStyle w:val="ad"/>
        <w:widowControl w:val="0"/>
        <w:numPr>
          <w:ilvl w:val="0"/>
          <w:numId w:val="9"/>
        </w:numPr>
        <w:ind w:right="102"/>
        <w:jc w:val="both"/>
        <w:rPr>
          <w:bCs/>
          <w:szCs w:val="28"/>
        </w:rPr>
      </w:pPr>
      <w:r w:rsidRPr="004C42D2">
        <w:rPr>
          <w:bCs/>
          <w:szCs w:val="28"/>
        </w:rPr>
        <w:t xml:space="preserve">Порядок заповнення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w:t>
      </w:r>
    </w:p>
    <w:p w14:paraId="40EE031E" w14:textId="77777777" w:rsidR="004C42D2" w:rsidRPr="004C42D2" w:rsidRDefault="004C42D2" w:rsidP="004C42D2">
      <w:pPr>
        <w:pStyle w:val="ad"/>
        <w:widowControl w:val="0"/>
        <w:numPr>
          <w:ilvl w:val="0"/>
          <w:numId w:val="9"/>
        </w:numPr>
        <w:ind w:right="102"/>
        <w:jc w:val="both"/>
        <w:rPr>
          <w:bCs/>
          <w:szCs w:val="28"/>
        </w:rPr>
      </w:pPr>
      <w:r w:rsidRPr="004C42D2">
        <w:rPr>
          <w:bCs/>
          <w:szCs w:val="28"/>
        </w:rPr>
        <w:t xml:space="preserve">форму витягу з Єдиного реєстру місць зберігання; </w:t>
      </w:r>
    </w:p>
    <w:p w14:paraId="05FA7549" w14:textId="77777777" w:rsidR="004C42D2" w:rsidRPr="004C42D2" w:rsidRDefault="004C42D2" w:rsidP="004C42D2">
      <w:pPr>
        <w:pStyle w:val="ad"/>
        <w:widowControl w:val="0"/>
        <w:numPr>
          <w:ilvl w:val="0"/>
          <w:numId w:val="9"/>
        </w:numPr>
        <w:ind w:right="102"/>
        <w:jc w:val="both"/>
        <w:rPr>
          <w:bCs/>
          <w:szCs w:val="28"/>
        </w:rPr>
      </w:pPr>
      <w:r w:rsidRPr="004C42D2">
        <w:rPr>
          <w:bCs/>
          <w:szCs w:val="28"/>
        </w:rPr>
        <w:t>Коди і види товару (продукції).</w:t>
      </w:r>
    </w:p>
    <w:p w14:paraId="051F7C28" w14:textId="77777777" w:rsidR="004C42D2" w:rsidRPr="00E442DE" w:rsidRDefault="004C42D2" w:rsidP="003B39FB">
      <w:pPr>
        <w:widowControl w:val="0"/>
        <w:ind w:right="102" w:firstLine="709"/>
        <w:jc w:val="both"/>
        <w:rPr>
          <w:bCs/>
          <w:szCs w:val="28"/>
        </w:rPr>
      </w:pPr>
    </w:p>
    <w:p w14:paraId="4A9404DB" w14:textId="60167F28"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1B738B">
        <w:rPr>
          <w:b/>
          <w:sz w:val="36"/>
          <w:szCs w:val="36"/>
        </w:rPr>
        <w:t>н</w:t>
      </w:r>
      <w:r w:rsidR="001B738B" w:rsidRPr="001B738B">
        <w:rPr>
          <w:b/>
          <w:sz w:val="36"/>
          <w:szCs w:val="36"/>
        </w:rPr>
        <w:t>аказ</w:t>
      </w:r>
      <w:r w:rsidR="001B738B">
        <w:rPr>
          <w:b/>
          <w:sz w:val="36"/>
          <w:szCs w:val="36"/>
        </w:rPr>
        <w:t>у</w:t>
      </w:r>
      <w:r w:rsidR="001B738B" w:rsidRPr="001B738B">
        <w:rPr>
          <w:b/>
          <w:sz w:val="36"/>
          <w:szCs w:val="36"/>
        </w:rPr>
        <w:t xml:space="preserve"> «Про затвердження Інструкції про встановлення причинного зв'язку смерті з професійним захворюванням»</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1B738B">
        <w:rPr>
          <w:b/>
          <w:sz w:val="36"/>
          <w:szCs w:val="36"/>
        </w:rPr>
        <w:t>1109</w:t>
      </w:r>
      <w:r w:rsidRPr="00AE6257">
        <w:rPr>
          <w:b/>
          <w:sz w:val="36"/>
          <w:szCs w:val="36"/>
        </w:rPr>
        <w:t xml:space="preserve">, розробник </w:t>
      </w:r>
      <w:r>
        <w:rPr>
          <w:b/>
          <w:sz w:val="36"/>
          <w:szCs w:val="36"/>
        </w:rPr>
        <w:t>–</w:t>
      </w:r>
      <w:r w:rsidRPr="00AE6257">
        <w:rPr>
          <w:b/>
          <w:sz w:val="36"/>
          <w:szCs w:val="36"/>
        </w:rPr>
        <w:t xml:space="preserve"> </w:t>
      </w:r>
      <w:r w:rsidR="001B738B">
        <w:rPr>
          <w:b/>
          <w:sz w:val="36"/>
          <w:szCs w:val="36"/>
        </w:rPr>
        <w:t>МОЗ</w:t>
      </w:r>
      <w:r w:rsidRPr="00AE6257">
        <w:rPr>
          <w:b/>
          <w:sz w:val="36"/>
          <w:szCs w:val="36"/>
        </w:rPr>
        <w:t>.</w:t>
      </w:r>
    </w:p>
    <w:p w14:paraId="4DE0F7EC" w14:textId="768E4440" w:rsidR="00547AA2" w:rsidRDefault="00E514A1" w:rsidP="00547AA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1B738B" w:rsidRPr="001B738B">
        <w:rPr>
          <w:bCs/>
          <w:szCs w:val="28"/>
        </w:rPr>
        <w:t>визначення порядку встановлення причинного зв'язку смерті з професійним захворюванням, а також трудовим каліцтвом або іншим ушкодженням здоров'я в рамках здійснення оцінювання повсякденного функціонування особи</w:t>
      </w:r>
      <w:r w:rsidR="001B738B">
        <w:rPr>
          <w:bCs/>
          <w:szCs w:val="28"/>
        </w:rPr>
        <w:t>.</w:t>
      </w:r>
    </w:p>
    <w:p w14:paraId="22B5B7ED" w14:textId="77777777" w:rsidR="00C63E1A" w:rsidRDefault="00C63E1A" w:rsidP="00547AA2">
      <w:pPr>
        <w:widowControl w:val="0"/>
        <w:ind w:right="102" w:firstLine="708"/>
        <w:jc w:val="both"/>
        <w:rPr>
          <w:bCs/>
          <w:szCs w:val="28"/>
        </w:rPr>
      </w:pPr>
      <w:proofErr w:type="spellStart"/>
      <w:r w:rsidRPr="00C63E1A">
        <w:rPr>
          <w:bCs/>
          <w:szCs w:val="28"/>
        </w:rPr>
        <w:t>Проєктом</w:t>
      </w:r>
      <w:proofErr w:type="spellEnd"/>
      <w:r w:rsidRPr="00C63E1A">
        <w:rPr>
          <w:bCs/>
          <w:szCs w:val="28"/>
        </w:rPr>
        <w:t xml:space="preserve"> </w:t>
      </w:r>
      <w:proofErr w:type="spellStart"/>
      <w:r w:rsidRPr="00C63E1A">
        <w:rPr>
          <w:bCs/>
          <w:szCs w:val="28"/>
        </w:rPr>
        <w:t>акта</w:t>
      </w:r>
      <w:proofErr w:type="spellEnd"/>
      <w:r w:rsidRPr="00C63E1A">
        <w:rPr>
          <w:bCs/>
          <w:szCs w:val="28"/>
        </w:rPr>
        <w:t xml:space="preserve"> пропонується: </w:t>
      </w:r>
    </w:p>
    <w:p w14:paraId="176A2E20" w14:textId="77777777" w:rsidR="00C63E1A" w:rsidRPr="00C63E1A" w:rsidRDefault="00C63E1A" w:rsidP="00C63E1A">
      <w:pPr>
        <w:pStyle w:val="ad"/>
        <w:widowControl w:val="0"/>
        <w:numPr>
          <w:ilvl w:val="0"/>
          <w:numId w:val="10"/>
        </w:numPr>
        <w:ind w:right="102"/>
        <w:jc w:val="both"/>
        <w:rPr>
          <w:bCs/>
          <w:szCs w:val="28"/>
        </w:rPr>
      </w:pPr>
      <w:r w:rsidRPr="00C63E1A">
        <w:rPr>
          <w:bCs/>
          <w:szCs w:val="28"/>
        </w:rPr>
        <w:t xml:space="preserve">затвердити Інструкцію про встановлення причинного зв'язку смерті з професійним захворюванням; </w:t>
      </w:r>
    </w:p>
    <w:p w14:paraId="45F050E7" w14:textId="305DBEB7" w:rsidR="00C63E1A" w:rsidRPr="00C63E1A" w:rsidRDefault="00C63E1A" w:rsidP="00C63E1A">
      <w:pPr>
        <w:pStyle w:val="ad"/>
        <w:widowControl w:val="0"/>
        <w:numPr>
          <w:ilvl w:val="0"/>
          <w:numId w:val="10"/>
        </w:numPr>
        <w:ind w:right="102"/>
        <w:jc w:val="both"/>
        <w:rPr>
          <w:bCs/>
          <w:szCs w:val="28"/>
        </w:rPr>
      </w:pPr>
      <w:r w:rsidRPr="00C63E1A">
        <w:rPr>
          <w:bCs/>
          <w:szCs w:val="28"/>
        </w:rPr>
        <w:lastRenderedPageBreak/>
        <w:t>визнати таким, що втратив чинність, наказ Міністерства охорони здоров'я України від 15 листопада 2005 року № 606 «Про затвердження Інструкції про встановлення причинного зв'язку смерті з професійним захворюванням (отруєнням) або трудовим каліцтвом», зареєстрований в Міністерстві юстиції України 2 грудня 2005 року за № 1455/11735.</w:t>
      </w:r>
    </w:p>
    <w:p w14:paraId="2362D865" w14:textId="77777777" w:rsidR="001B738B" w:rsidRDefault="001B738B" w:rsidP="00547AA2">
      <w:pPr>
        <w:widowControl w:val="0"/>
        <w:ind w:right="102" w:firstLine="708"/>
        <w:jc w:val="both"/>
        <w:rPr>
          <w:bCs/>
          <w:szCs w:val="28"/>
        </w:rPr>
      </w:pPr>
    </w:p>
    <w:p w14:paraId="29781A6D" w14:textId="0D1EC988" w:rsidR="0090545C" w:rsidRPr="00AE6257" w:rsidRDefault="0090545C" w:rsidP="0090545C">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1B738B">
        <w:rPr>
          <w:b/>
          <w:sz w:val="36"/>
          <w:szCs w:val="36"/>
        </w:rPr>
        <w:t>аказ</w:t>
      </w:r>
      <w:r>
        <w:rPr>
          <w:b/>
          <w:sz w:val="36"/>
          <w:szCs w:val="36"/>
        </w:rPr>
        <w:t>у</w:t>
      </w:r>
      <w:r w:rsidRPr="001B738B">
        <w:rPr>
          <w:b/>
          <w:sz w:val="36"/>
          <w:szCs w:val="36"/>
        </w:rPr>
        <w:t xml:space="preserve"> «</w:t>
      </w:r>
      <w:r w:rsidRPr="0090545C">
        <w:rPr>
          <w:b/>
          <w:sz w:val="36"/>
          <w:szCs w:val="36"/>
        </w:rPr>
        <w:t>Про затвердження Положення про групи рівних</w:t>
      </w:r>
      <w:r w:rsidRPr="001B738B">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1110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90545C">
        <w:rPr>
          <w:b/>
          <w:sz w:val="36"/>
          <w:szCs w:val="36"/>
        </w:rPr>
        <w:t xml:space="preserve"> </w:t>
      </w:r>
      <w:r>
        <w:rPr>
          <w:b/>
          <w:sz w:val="36"/>
          <w:szCs w:val="36"/>
        </w:rPr>
        <w:t>(</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738AA8BC" w14:textId="6E0D34EB" w:rsidR="0090545C" w:rsidRDefault="0090545C" w:rsidP="0090545C">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90545C">
        <w:rPr>
          <w:bCs/>
          <w:szCs w:val="28"/>
        </w:rPr>
        <w:t xml:space="preserve">організації суб’єктами господарювання у сфері охорони здоров’я </w:t>
      </w:r>
      <w:proofErr w:type="spellStart"/>
      <w:r w:rsidRPr="0090545C">
        <w:rPr>
          <w:bCs/>
          <w:szCs w:val="28"/>
        </w:rPr>
        <w:t>інформальної</w:t>
      </w:r>
      <w:proofErr w:type="spellEnd"/>
      <w:r w:rsidRPr="0090545C">
        <w:rPr>
          <w:bCs/>
          <w:szCs w:val="28"/>
        </w:rPr>
        <w:t xml:space="preserve"> освіти працівників сфери охорони здоров’я у формі груп рівних, що сприятиме поліпшенню якості медичного обслуговування.</w:t>
      </w:r>
    </w:p>
    <w:p w14:paraId="32592735" w14:textId="6350DAA2" w:rsidR="002D4685" w:rsidRDefault="002D4685" w:rsidP="0090545C">
      <w:pPr>
        <w:widowControl w:val="0"/>
        <w:ind w:right="102" w:firstLine="708"/>
        <w:jc w:val="both"/>
        <w:rPr>
          <w:bCs/>
          <w:szCs w:val="28"/>
        </w:rPr>
      </w:pPr>
      <w:r w:rsidRPr="002D4685">
        <w:rPr>
          <w:bCs/>
          <w:szCs w:val="28"/>
        </w:rPr>
        <w:t>На відміну від заходів формальної та неформальної освіти, групи рівних є більш гнучким і інноваційним видом діяльності в межах безперервного професійного розвитку, що дає можливість швидше обмінюватися досвідом, здобувати потрібні саме тут і зараз нові знання і навички. Участь у групах рівних – рівних за посадою/професією працівників сфери охорони здоров’я передбачає участь у заходах з безперервного, систематичного, критичного розгляду питань щодо провадження власної професійної діяльності та професійної діяльності інших працівників сфери охорони здоров’я для безперервного поліпшення якості медичної допомоги.</w:t>
      </w:r>
    </w:p>
    <w:p w14:paraId="18DF04C2" w14:textId="77777777" w:rsidR="005F091D" w:rsidRDefault="005F091D" w:rsidP="0090545C">
      <w:pPr>
        <w:widowControl w:val="0"/>
        <w:ind w:right="102" w:firstLine="708"/>
        <w:jc w:val="both"/>
        <w:rPr>
          <w:bCs/>
          <w:szCs w:val="28"/>
        </w:rPr>
      </w:pPr>
    </w:p>
    <w:p w14:paraId="60E99CAB" w14:textId="632BBE01" w:rsidR="005F091D" w:rsidRPr="00AE6257" w:rsidRDefault="005F091D" w:rsidP="005F091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F091D">
        <w:rPr>
          <w:b/>
          <w:sz w:val="36"/>
          <w:szCs w:val="36"/>
        </w:rPr>
        <w:t>постанови КМУ «Про внесення змін до Класифікації запасів і ресурсів корисних копалин державного фонду надр»</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1173</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Держгеонадра</w:t>
      </w:r>
      <w:proofErr w:type="spellEnd"/>
      <w:r w:rsidRPr="00AE6257">
        <w:rPr>
          <w:b/>
          <w:sz w:val="36"/>
          <w:szCs w:val="36"/>
        </w:rPr>
        <w:t>.</w:t>
      </w:r>
    </w:p>
    <w:p w14:paraId="6F63648D" w14:textId="77777777" w:rsidR="00900575" w:rsidRPr="00900575" w:rsidRDefault="005F091D" w:rsidP="00900575">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900575" w:rsidRPr="00900575">
        <w:rPr>
          <w:bCs/>
          <w:szCs w:val="28"/>
        </w:rPr>
        <w:t>адаптації (гармонізації) національної Класифікації запасів і ресурсів корисних копалин державного фонду надр, затвердженої постановою Кабінету Міністрів України від 5 травня 1997 року</w:t>
      </w:r>
      <w:r w:rsidR="00900575" w:rsidRPr="00900575">
        <w:rPr>
          <w:bCs/>
          <w:szCs w:val="28"/>
        </w:rPr>
        <w:br/>
        <w:t xml:space="preserve">№ 432 (далі – Класифікація) та її приведення у відповідність до положень Рамкової класифікації Організації Об’єднаних Націй викопних енергетичних і мінеральних запасів і ресурсів корисних копалин 2019 року (РКООН 2019), що позитивно вплине на можливість застосування міжнародних стандартів геолого-економічної оцінки запасів корисних копалин і звітності та поліпшить інвестиційну привабливість </w:t>
      </w:r>
      <w:proofErr w:type="spellStart"/>
      <w:r w:rsidR="00900575" w:rsidRPr="00900575">
        <w:rPr>
          <w:bCs/>
          <w:szCs w:val="28"/>
        </w:rPr>
        <w:t>проєктів</w:t>
      </w:r>
      <w:proofErr w:type="spellEnd"/>
      <w:r w:rsidR="00900575" w:rsidRPr="00900575">
        <w:rPr>
          <w:bCs/>
          <w:szCs w:val="28"/>
        </w:rPr>
        <w:t xml:space="preserve"> з видобування запасів та ресурсів корисних копалин, в цілому сприятиме покращенню інвестиційної діяльності, розвитку геологічної галузі України, залученню інвестицій у геологорозвідувальну і видобувну галузі України, удосконаленню методичних основ геолого-економічної оцінки і державного обліку запасів корисних копалин, приведення їх до міжнародних стандартів оцінки запасів/ресурсів родовищ корисних копалин.</w:t>
      </w:r>
    </w:p>
    <w:p w14:paraId="4C092362" w14:textId="77777777" w:rsidR="00900575" w:rsidRPr="00900575" w:rsidRDefault="00900575" w:rsidP="00900575">
      <w:pPr>
        <w:widowControl w:val="0"/>
        <w:ind w:right="102" w:firstLine="708"/>
        <w:jc w:val="both"/>
        <w:rPr>
          <w:bCs/>
          <w:szCs w:val="28"/>
        </w:rPr>
      </w:pPr>
      <w:proofErr w:type="spellStart"/>
      <w:r w:rsidRPr="00900575">
        <w:rPr>
          <w:bCs/>
          <w:szCs w:val="28"/>
        </w:rPr>
        <w:t>Проєктом</w:t>
      </w:r>
      <w:proofErr w:type="spellEnd"/>
      <w:r w:rsidRPr="00900575">
        <w:rPr>
          <w:bCs/>
          <w:szCs w:val="28"/>
        </w:rPr>
        <w:t xml:space="preserve"> </w:t>
      </w:r>
      <w:proofErr w:type="spellStart"/>
      <w:r w:rsidRPr="00900575">
        <w:rPr>
          <w:bCs/>
          <w:szCs w:val="28"/>
        </w:rPr>
        <w:t>акта</w:t>
      </w:r>
      <w:proofErr w:type="spellEnd"/>
      <w:r w:rsidRPr="00900575">
        <w:rPr>
          <w:bCs/>
          <w:szCs w:val="28"/>
        </w:rPr>
        <w:t xml:space="preserve"> пропонується </w:t>
      </w:r>
      <w:proofErr w:type="spellStart"/>
      <w:r w:rsidRPr="00900575">
        <w:rPr>
          <w:bCs/>
          <w:szCs w:val="28"/>
        </w:rPr>
        <w:t>внести</w:t>
      </w:r>
      <w:proofErr w:type="spellEnd"/>
      <w:r w:rsidRPr="00900575">
        <w:rPr>
          <w:bCs/>
          <w:szCs w:val="28"/>
        </w:rPr>
        <w:t xml:space="preserve"> зміни до Класифікації для встановлення основних принципів кількісної оцінки ресурсів корисних копалин, що сприятиме встановленню єдиних для державного фонду надр України принципів підрахунку, геолого-економічної оцінки, державного обліку та звітності про використання</w:t>
      </w:r>
      <w:r w:rsidRPr="00900575">
        <w:rPr>
          <w:bCs/>
          <w:i/>
          <w:szCs w:val="28"/>
        </w:rPr>
        <w:t xml:space="preserve"> </w:t>
      </w:r>
      <w:r w:rsidRPr="00900575">
        <w:rPr>
          <w:bCs/>
          <w:szCs w:val="28"/>
        </w:rPr>
        <w:t xml:space="preserve">запасів і ресурсів корисних копалин, згідно з рівнем їх соціально-економічного та промислового значення, ступенем деталізації </w:t>
      </w:r>
      <w:proofErr w:type="spellStart"/>
      <w:r w:rsidRPr="00900575">
        <w:rPr>
          <w:bCs/>
          <w:szCs w:val="28"/>
        </w:rPr>
        <w:t>проєкту</w:t>
      </w:r>
      <w:proofErr w:type="spellEnd"/>
      <w:r w:rsidRPr="00900575">
        <w:rPr>
          <w:bCs/>
          <w:szCs w:val="28"/>
        </w:rPr>
        <w:t xml:space="preserve">, технологічного вивчення і підготовленості родовищ (покладів) корисних копалин до промислового освоєння, </w:t>
      </w:r>
      <w:r w:rsidRPr="00900575">
        <w:rPr>
          <w:bCs/>
          <w:szCs w:val="28"/>
        </w:rPr>
        <w:lastRenderedPageBreak/>
        <w:t>ступенем геологічного вивчення та достовірності, а також основних принципів кількісної оцінки ресурсів корисних копалин.</w:t>
      </w:r>
    </w:p>
    <w:p w14:paraId="159F4251" w14:textId="77777777" w:rsidR="00900575" w:rsidRPr="00900575" w:rsidRDefault="00900575" w:rsidP="00900575">
      <w:pPr>
        <w:widowControl w:val="0"/>
        <w:ind w:right="102" w:firstLine="708"/>
        <w:jc w:val="both"/>
        <w:rPr>
          <w:bCs/>
          <w:szCs w:val="28"/>
          <w:lang w:val="en-US"/>
        </w:rPr>
      </w:pPr>
      <w:r w:rsidRPr="00900575">
        <w:rPr>
          <w:bCs/>
          <w:szCs w:val="28"/>
        </w:rPr>
        <w:t>Класифікація є інструментом для оцінки родовищ корисних копалин та визначення рівня їх комерційної привабливості, промислового значення, геологічного вивчення, достовірності державного обліку, та основою для контролю та управління запасами й ресурсами, складання прогнозів видобутку, бізнес-планів гірничодобувних підприємств державного та комерційного планування геологорозвідувальних робіт.</w:t>
      </w:r>
    </w:p>
    <w:p w14:paraId="19BFDD7E" w14:textId="77777777" w:rsidR="00900575" w:rsidRPr="00900575" w:rsidRDefault="00900575" w:rsidP="00900575">
      <w:pPr>
        <w:widowControl w:val="0"/>
        <w:ind w:right="102" w:firstLine="708"/>
        <w:jc w:val="both"/>
        <w:rPr>
          <w:bCs/>
          <w:szCs w:val="28"/>
          <w:lang w:val="en-US"/>
        </w:rPr>
      </w:pPr>
      <w:r w:rsidRPr="00900575">
        <w:rPr>
          <w:bCs/>
          <w:szCs w:val="28"/>
        </w:rPr>
        <w:t>Класифікація дає можливість розподілити запаси корисних копалин, облікувати їх і зробити економічну оцінку та максимально наблизити її до міжнародних стандартів.</w:t>
      </w:r>
    </w:p>
    <w:p w14:paraId="1E22AD2A" w14:textId="53156F6E" w:rsidR="005F091D" w:rsidRDefault="005F091D" w:rsidP="005F091D">
      <w:pPr>
        <w:widowControl w:val="0"/>
        <w:ind w:right="102" w:firstLine="708"/>
        <w:jc w:val="both"/>
        <w:rPr>
          <w:bCs/>
          <w:szCs w:val="28"/>
        </w:rPr>
      </w:pPr>
    </w:p>
    <w:p w14:paraId="4593ACF3" w14:textId="56756765" w:rsidR="004B742E" w:rsidRPr="00AE6257" w:rsidRDefault="004B742E" w:rsidP="004B742E">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4B742E">
        <w:rPr>
          <w:b/>
          <w:sz w:val="36"/>
          <w:szCs w:val="36"/>
        </w:rPr>
        <w:t>останови КМУ «Про затвердження критеріїв, за якими оцінюється ступінь ризику від провадження господарської діяльності на ринку природного газу та визначається періодичність проведення планових заходів державного нагляду (контролю) Державною інспекцією енергетичного нагляду»</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1187</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Держенергонагляд</w:t>
      </w:r>
      <w:proofErr w:type="spellEnd"/>
      <w:r>
        <w:rPr>
          <w:b/>
          <w:sz w:val="36"/>
          <w:szCs w:val="36"/>
        </w:rPr>
        <w:t>.</w:t>
      </w:r>
    </w:p>
    <w:p w14:paraId="6673022B" w14:textId="710C7876" w:rsidR="004B742E" w:rsidRDefault="004B742E" w:rsidP="005F091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4B742E">
        <w:rPr>
          <w:bCs/>
          <w:szCs w:val="28"/>
        </w:rPr>
        <w:t>затвердження критеріїв, за якими оцінюється ступінь ризику від провадження господарської діяльності на ринку природного газу та визначається періодичність проведення планових заходів державного нагляду (контролю) Державною інспекцією енергетичного нагляду у зв’язку з набранням чинності Закону України «Про оптимізацію структури власності оператора газотранспортної системи України» в частині доповнення Закону України «Про ринок природного газу» статтею 81 щодо державного енергетичного нагляду (контролю) на ринку природного газу, прийняття постанови Кабінету Міністрів України від 03 січня 2024 року № 1 «Деякі питання оптимізації діяльності центральних органів виконавчої влади у сфері державного енергетичного нагляду (контролю) на ринку природного газу» щодо здійснення Державною інспекцією енергетичного нагляду України повноважень і функцій з реалізації державної політики у сфері нагляду (контролю) на ринку природного газу.</w:t>
      </w:r>
    </w:p>
    <w:p w14:paraId="01A2B9F3" w14:textId="70E9B72C" w:rsidR="004B742E" w:rsidRDefault="004B742E" w:rsidP="005F091D">
      <w:pPr>
        <w:widowControl w:val="0"/>
        <w:ind w:right="102" w:firstLine="708"/>
        <w:jc w:val="both"/>
        <w:rPr>
          <w:bCs/>
          <w:szCs w:val="28"/>
        </w:rPr>
      </w:pPr>
      <w:proofErr w:type="spellStart"/>
      <w:r w:rsidRPr="004B742E">
        <w:rPr>
          <w:bCs/>
          <w:szCs w:val="28"/>
        </w:rPr>
        <w:t>Проєктом</w:t>
      </w:r>
      <w:proofErr w:type="spellEnd"/>
      <w:r w:rsidRPr="004B742E">
        <w:rPr>
          <w:bCs/>
          <w:szCs w:val="28"/>
        </w:rPr>
        <w:t xml:space="preserve"> постанови передбачається затвердити критерії, за якими оцінюється ступінь ризику від провадження господарської діяльності на ринку природного газу та визначається періодичність проведення планових заходів державного нагляду (контролю) Державною інспекцією енергетичного нагляду, якими визначити перелік ризиків настання негативних наслідків від провадження господарської діяльності на ринку природного газу та визначення видів порушень вимог нормативно-правових актів з питань технічної експлуатації і технічного стану об’єктів газової інфраструктури (крім газовидобувних підприємств та газосховищ), систем газопостачання зріджених (скраплених) вуглеводневих газів, а також </w:t>
      </w:r>
      <w:proofErr w:type="spellStart"/>
      <w:r w:rsidRPr="004B742E">
        <w:rPr>
          <w:bCs/>
          <w:szCs w:val="28"/>
        </w:rPr>
        <w:t>внутрішньобудинкових</w:t>
      </w:r>
      <w:proofErr w:type="spellEnd"/>
      <w:r w:rsidRPr="004B742E">
        <w:rPr>
          <w:bCs/>
          <w:szCs w:val="28"/>
        </w:rPr>
        <w:t xml:space="preserve"> систем газопостачання, газових мереж зовнішнього та внутрішнього газопостачання, </w:t>
      </w:r>
      <w:proofErr w:type="spellStart"/>
      <w:r w:rsidRPr="004B742E">
        <w:rPr>
          <w:bCs/>
          <w:szCs w:val="28"/>
        </w:rPr>
        <w:t>газовикористовуючих</w:t>
      </w:r>
      <w:proofErr w:type="spellEnd"/>
      <w:r w:rsidRPr="004B742E">
        <w:rPr>
          <w:bCs/>
          <w:szCs w:val="28"/>
        </w:rPr>
        <w:t xml:space="preserve"> установок та обладнання, димоходів, димових і вентиляційних каналів та систем об’єктів споживачів, у яких встановлено </w:t>
      </w:r>
      <w:proofErr w:type="spellStart"/>
      <w:r w:rsidRPr="004B742E">
        <w:rPr>
          <w:bCs/>
          <w:szCs w:val="28"/>
        </w:rPr>
        <w:t>газовикористовуючі</w:t>
      </w:r>
      <w:proofErr w:type="spellEnd"/>
      <w:r w:rsidRPr="004B742E">
        <w:rPr>
          <w:bCs/>
          <w:szCs w:val="28"/>
        </w:rPr>
        <w:t xml:space="preserve"> установки та обладнання i законодавства про </w:t>
      </w:r>
      <w:r w:rsidRPr="004B742E">
        <w:rPr>
          <w:bCs/>
          <w:szCs w:val="28"/>
        </w:rPr>
        <w:lastRenderedPageBreak/>
        <w:t>державний нагляд (контроль) у сфері господарської діяльності, виявлених протягом останніх п’яти років, що передують плановому періоду, а також визначення балів за якими оцінюється ступінь ризику від провадження господарської діяльності.</w:t>
      </w:r>
    </w:p>
    <w:p w14:paraId="22848CF8" w14:textId="77777777" w:rsidR="00CA1EEC" w:rsidRDefault="00CA1EEC" w:rsidP="005F091D">
      <w:pPr>
        <w:widowControl w:val="0"/>
        <w:ind w:right="102" w:firstLine="708"/>
        <w:jc w:val="both"/>
        <w:rPr>
          <w:bCs/>
          <w:szCs w:val="28"/>
        </w:rPr>
      </w:pPr>
    </w:p>
    <w:p w14:paraId="4B255A32" w14:textId="61441DDF" w:rsidR="00CA1EEC" w:rsidRPr="00AE6257" w:rsidRDefault="00CA1EEC" w:rsidP="00CA1EEC">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1B738B">
        <w:rPr>
          <w:b/>
          <w:sz w:val="36"/>
          <w:szCs w:val="36"/>
        </w:rPr>
        <w:t>аказ</w:t>
      </w:r>
      <w:r>
        <w:rPr>
          <w:b/>
          <w:sz w:val="36"/>
          <w:szCs w:val="36"/>
        </w:rPr>
        <w:t>у</w:t>
      </w:r>
      <w:r w:rsidRPr="001B738B">
        <w:rPr>
          <w:b/>
          <w:sz w:val="36"/>
          <w:szCs w:val="36"/>
        </w:rPr>
        <w:t xml:space="preserve"> «</w:t>
      </w:r>
      <w:r w:rsidRPr="00CA1EEC">
        <w:rPr>
          <w:b/>
          <w:sz w:val="36"/>
          <w:szCs w:val="36"/>
        </w:rPr>
        <w:t>Про затвердження Змін до Положення про видачу сертифікатів суб’єктів оціночної діяльності</w:t>
      </w:r>
      <w:r w:rsidRPr="001B738B">
        <w:rPr>
          <w:b/>
          <w:sz w:val="36"/>
          <w:szCs w:val="36"/>
        </w:rPr>
        <w:t>»</w:t>
      </w:r>
      <w:r w:rsidRPr="00E514A1">
        <w:rPr>
          <w:b/>
          <w:sz w:val="36"/>
          <w:szCs w:val="36"/>
        </w:rPr>
        <w:t xml:space="preserve"> </w:t>
      </w:r>
      <w:r w:rsidRPr="00AE6257">
        <w:rPr>
          <w:b/>
          <w:sz w:val="36"/>
          <w:szCs w:val="36"/>
        </w:rPr>
        <w:t>вх.</w:t>
      </w:r>
      <w:r>
        <w:rPr>
          <w:b/>
          <w:sz w:val="36"/>
          <w:szCs w:val="36"/>
        </w:rPr>
        <w:t>1200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ФДМУ</w:t>
      </w:r>
      <w:r w:rsidRPr="00AE6257">
        <w:rPr>
          <w:b/>
          <w:sz w:val="36"/>
          <w:szCs w:val="36"/>
        </w:rPr>
        <w:t>.</w:t>
      </w:r>
    </w:p>
    <w:p w14:paraId="0260959E" w14:textId="4C92788A" w:rsidR="00CA1EEC" w:rsidRDefault="00CA1EEC" w:rsidP="005F091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CA1EEC">
        <w:rPr>
          <w:bCs/>
          <w:szCs w:val="28"/>
        </w:rPr>
        <w:t>впровадження чіткої регламентації адміністративної процедури під час розгляду та вирішення справ щодо видачі суб’єктам господарювання документа дозвільного характеру – сертифіката суб’єкта оціночної діяльності</w:t>
      </w:r>
      <w:r>
        <w:rPr>
          <w:bCs/>
          <w:szCs w:val="28"/>
        </w:rPr>
        <w:t>.</w:t>
      </w:r>
    </w:p>
    <w:p w14:paraId="176C1694" w14:textId="77777777" w:rsidR="00CA1EEC" w:rsidRDefault="00CA1EEC" w:rsidP="005F091D">
      <w:pPr>
        <w:widowControl w:val="0"/>
        <w:ind w:right="102" w:firstLine="708"/>
        <w:jc w:val="both"/>
        <w:rPr>
          <w:bCs/>
          <w:szCs w:val="28"/>
        </w:rPr>
      </w:pPr>
      <w:r w:rsidRPr="00CA1EEC">
        <w:rPr>
          <w:bCs/>
          <w:szCs w:val="28"/>
        </w:rPr>
        <w:t xml:space="preserve">Положеннями </w:t>
      </w:r>
      <w:proofErr w:type="spellStart"/>
      <w:r w:rsidRPr="00CA1EEC">
        <w:rPr>
          <w:bCs/>
          <w:szCs w:val="28"/>
        </w:rPr>
        <w:t>Проєкту</w:t>
      </w:r>
      <w:proofErr w:type="spellEnd"/>
      <w:r w:rsidRPr="00CA1EEC">
        <w:rPr>
          <w:bCs/>
          <w:szCs w:val="28"/>
        </w:rPr>
        <w:t xml:space="preserve"> наказу передбачено: </w:t>
      </w:r>
    </w:p>
    <w:p w14:paraId="4068267F" w14:textId="77777777" w:rsidR="00CA1EEC" w:rsidRPr="00CA1EEC" w:rsidRDefault="00CA1EEC" w:rsidP="00CA1EEC">
      <w:pPr>
        <w:pStyle w:val="ad"/>
        <w:widowControl w:val="0"/>
        <w:numPr>
          <w:ilvl w:val="0"/>
          <w:numId w:val="11"/>
        </w:numPr>
        <w:ind w:right="102"/>
        <w:jc w:val="both"/>
        <w:rPr>
          <w:bCs/>
          <w:szCs w:val="28"/>
        </w:rPr>
      </w:pPr>
      <w:r w:rsidRPr="00CA1EEC">
        <w:rPr>
          <w:bCs/>
          <w:szCs w:val="28"/>
        </w:rPr>
        <w:t xml:space="preserve">запровадження порядку розгляду справ щодо видачі сертифіката, що відповідає принципам адміністративної процедури; </w:t>
      </w:r>
    </w:p>
    <w:p w14:paraId="7DF5DE89" w14:textId="77777777" w:rsidR="00CA1EEC" w:rsidRPr="00CA1EEC" w:rsidRDefault="00CA1EEC" w:rsidP="00CA1EEC">
      <w:pPr>
        <w:pStyle w:val="ad"/>
        <w:widowControl w:val="0"/>
        <w:numPr>
          <w:ilvl w:val="0"/>
          <w:numId w:val="11"/>
        </w:numPr>
        <w:ind w:right="102"/>
        <w:jc w:val="both"/>
        <w:rPr>
          <w:bCs/>
          <w:szCs w:val="28"/>
        </w:rPr>
      </w:pPr>
      <w:r w:rsidRPr="00CA1EEC">
        <w:rPr>
          <w:bCs/>
          <w:szCs w:val="28"/>
        </w:rPr>
        <w:t xml:space="preserve">встановлення чіткої регламентації процедурних дій під час розгляду Фондом справ, що стосуються видачі сертифіката; </w:t>
      </w:r>
    </w:p>
    <w:p w14:paraId="381F7ADB" w14:textId="76999BAB" w:rsidR="00CA1EEC" w:rsidRDefault="00CA1EEC" w:rsidP="00CA1EEC">
      <w:pPr>
        <w:pStyle w:val="ad"/>
        <w:widowControl w:val="0"/>
        <w:numPr>
          <w:ilvl w:val="0"/>
          <w:numId w:val="11"/>
        </w:numPr>
        <w:ind w:right="102"/>
        <w:jc w:val="both"/>
        <w:rPr>
          <w:bCs/>
          <w:szCs w:val="28"/>
        </w:rPr>
      </w:pPr>
      <w:r w:rsidRPr="00CA1EEC">
        <w:rPr>
          <w:bCs/>
          <w:szCs w:val="28"/>
        </w:rPr>
        <w:t>забезпечення прав і законних інтересів суб’єктів господарювання, які звернулися до Фонду щодо видачі сертифіката.</w:t>
      </w:r>
    </w:p>
    <w:p w14:paraId="7A6B5761" w14:textId="77777777" w:rsidR="009A190A" w:rsidRDefault="009A190A" w:rsidP="009A190A">
      <w:pPr>
        <w:widowControl w:val="0"/>
        <w:ind w:right="102"/>
        <w:jc w:val="both"/>
        <w:rPr>
          <w:bCs/>
          <w:szCs w:val="28"/>
        </w:rPr>
      </w:pPr>
    </w:p>
    <w:p w14:paraId="22D73821" w14:textId="42627970" w:rsidR="009A190A" w:rsidRPr="00AE6257" w:rsidRDefault="009A190A" w:rsidP="009A190A">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1B738B">
        <w:rPr>
          <w:b/>
          <w:sz w:val="36"/>
          <w:szCs w:val="36"/>
        </w:rPr>
        <w:t>аказ</w:t>
      </w:r>
      <w:r>
        <w:rPr>
          <w:b/>
          <w:sz w:val="36"/>
          <w:szCs w:val="36"/>
        </w:rPr>
        <w:t>у</w:t>
      </w:r>
      <w:r w:rsidRPr="001B738B">
        <w:rPr>
          <w:b/>
          <w:sz w:val="36"/>
          <w:szCs w:val="36"/>
        </w:rPr>
        <w:t xml:space="preserve"> «</w:t>
      </w:r>
      <w:r w:rsidRPr="009A190A">
        <w:rPr>
          <w:b/>
          <w:sz w:val="36"/>
          <w:szCs w:val="36"/>
        </w:rPr>
        <w:t>Про затвердження Порядку організації скринінгу та діагностики порушень слуху у дітей</w:t>
      </w:r>
      <w:r w:rsidRPr="001B738B">
        <w:rPr>
          <w:b/>
          <w:sz w:val="36"/>
          <w:szCs w:val="36"/>
        </w:rPr>
        <w:t>»</w:t>
      </w:r>
      <w:r w:rsidRPr="00E514A1">
        <w:rPr>
          <w:b/>
          <w:sz w:val="36"/>
          <w:szCs w:val="36"/>
        </w:rPr>
        <w:t xml:space="preserve"> </w:t>
      </w:r>
      <w:r w:rsidRPr="00AE6257">
        <w:rPr>
          <w:b/>
          <w:sz w:val="36"/>
          <w:szCs w:val="36"/>
        </w:rPr>
        <w:t>вх.</w:t>
      </w:r>
      <w:r>
        <w:rPr>
          <w:b/>
          <w:sz w:val="36"/>
          <w:szCs w:val="36"/>
        </w:rPr>
        <w:t>1209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1684D9F6" w14:textId="66331858" w:rsidR="009A190A" w:rsidRDefault="009A190A" w:rsidP="009A190A">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Pr>
          <w:bCs/>
          <w:szCs w:val="28"/>
        </w:rPr>
        <w:t>розроблено з метою</w:t>
      </w:r>
      <w:r w:rsidRPr="009A190A">
        <w:rPr>
          <w:bCs/>
          <w:szCs w:val="28"/>
        </w:rPr>
        <w:t xml:space="preserve"> впровадження структурованих та чітко визначених етапів програми скринінгу слуху у дітей, що забезпечить стандартизований підхід до його організації.</w:t>
      </w:r>
    </w:p>
    <w:p w14:paraId="57A1A1EF" w14:textId="77777777" w:rsidR="009A190A" w:rsidRDefault="009A190A" w:rsidP="009A190A">
      <w:pPr>
        <w:widowControl w:val="0"/>
        <w:ind w:right="102" w:firstLine="708"/>
        <w:jc w:val="both"/>
        <w:rPr>
          <w:bCs/>
          <w:szCs w:val="28"/>
        </w:rPr>
      </w:pPr>
      <w:proofErr w:type="spellStart"/>
      <w:r w:rsidRPr="009A190A">
        <w:rPr>
          <w:bCs/>
          <w:szCs w:val="28"/>
        </w:rPr>
        <w:t>Проєкт</w:t>
      </w:r>
      <w:proofErr w:type="spellEnd"/>
      <w:r w:rsidRPr="009A190A">
        <w:rPr>
          <w:bCs/>
          <w:szCs w:val="28"/>
        </w:rPr>
        <w:t xml:space="preserve"> </w:t>
      </w:r>
      <w:proofErr w:type="spellStart"/>
      <w:r w:rsidRPr="009A190A">
        <w:rPr>
          <w:bCs/>
          <w:szCs w:val="28"/>
        </w:rPr>
        <w:t>акта</w:t>
      </w:r>
      <w:proofErr w:type="spellEnd"/>
      <w:r w:rsidRPr="009A190A">
        <w:rPr>
          <w:bCs/>
          <w:szCs w:val="28"/>
        </w:rPr>
        <w:t xml:space="preserve"> спрямований на створення ефективної системи раннього виявлення порушень слуху у дітей для забезпечення своєчасного початку лікування та розробки відповідних реабілітаційних заходів. </w:t>
      </w:r>
    </w:p>
    <w:p w14:paraId="75CBD6D1" w14:textId="77777777" w:rsidR="009A190A" w:rsidRDefault="009A190A" w:rsidP="009A190A">
      <w:pPr>
        <w:widowControl w:val="0"/>
        <w:ind w:right="102" w:firstLine="708"/>
        <w:jc w:val="both"/>
        <w:rPr>
          <w:bCs/>
          <w:szCs w:val="28"/>
        </w:rPr>
      </w:pPr>
      <w:r w:rsidRPr="009A190A">
        <w:rPr>
          <w:bCs/>
          <w:szCs w:val="28"/>
        </w:rPr>
        <w:t xml:space="preserve">Впровадження цих змін сприятиме забезпеченню рівного доступу всіх дітей до якісної діагностики та ранньої реабілітації незалежно від місця проживання чи соціального статусу. Завдяки своєчасному виявленню та діагностиці слухових порушень, діти зможуть отримати ранню реабілітацію, що є ключовим для їхнього повноцінного мовленнєвого та соціального розвитку. Це, своєю чергою, підвищить якість життя дитячого населення та сприятиме успішному виконанню державних соціальних програм і стратегій. </w:t>
      </w:r>
    </w:p>
    <w:p w14:paraId="30FAC64B" w14:textId="6ECE2770" w:rsidR="009A190A" w:rsidRDefault="009A190A" w:rsidP="009A190A">
      <w:pPr>
        <w:widowControl w:val="0"/>
        <w:ind w:right="102" w:firstLine="708"/>
        <w:jc w:val="both"/>
        <w:rPr>
          <w:bCs/>
          <w:szCs w:val="28"/>
        </w:rPr>
      </w:pPr>
      <w:r w:rsidRPr="009A190A">
        <w:rPr>
          <w:bCs/>
          <w:szCs w:val="28"/>
        </w:rPr>
        <w:t xml:space="preserve">В основі акту лежить концепція раннього втручання «1-3-6», яка передбачає: проведення скринінгу слуху до 1 місяця, підтвердження діагнозу до 3 місяців та початок реабілітації або лікування до 6 місяців. Рання діагностика є критично важливою для попередження затримки мовленнєвого та когнітивного розвитку, а також забезпечення максимальної соціальної адаптації дитини. </w:t>
      </w:r>
    </w:p>
    <w:p w14:paraId="2E6CC142" w14:textId="77777777" w:rsidR="009A190A" w:rsidRDefault="009A190A" w:rsidP="009A190A">
      <w:pPr>
        <w:widowControl w:val="0"/>
        <w:ind w:right="102" w:firstLine="708"/>
        <w:jc w:val="both"/>
        <w:rPr>
          <w:bCs/>
          <w:szCs w:val="28"/>
        </w:rPr>
      </w:pPr>
      <w:proofErr w:type="spellStart"/>
      <w:r w:rsidRPr="009A190A">
        <w:rPr>
          <w:bCs/>
          <w:szCs w:val="28"/>
        </w:rPr>
        <w:t>Проєктом</w:t>
      </w:r>
      <w:proofErr w:type="spellEnd"/>
      <w:r w:rsidRPr="009A190A">
        <w:rPr>
          <w:bCs/>
          <w:szCs w:val="28"/>
        </w:rPr>
        <w:t xml:space="preserve"> </w:t>
      </w:r>
      <w:proofErr w:type="spellStart"/>
      <w:r w:rsidRPr="009A190A">
        <w:rPr>
          <w:bCs/>
          <w:szCs w:val="28"/>
        </w:rPr>
        <w:t>акта</w:t>
      </w:r>
      <w:proofErr w:type="spellEnd"/>
      <w:r w:rsidRPr="009A190A">
        <w:rPr>
          <w:bCs/>
          <w:szCs w:val="28"/>
        </w:rPr>
        <w:t xml:space="preserve"> пропонується затвердити Порядок організації скринінгу та діагностики порушень слуху дітей, зокрема, щодо: </w:t>
      </w:r>
    </w:p>
    <w:p w14:paraId="0F4376C4" w14:textId="77777777" w:rsidR="009A190A" w:rsidRPr="009A190A" w:rsidRDefault="009A190A" w:rsidP="009A190A">
      <w:pPr>
        <w:pStyle w:val="ad"/>
        <w:widowControl w:val="0"/>
        <w:numPr>
          <w:ilvl w:val="0"/>
          <w:numId w:val="12"/>
        </w:numPr>
        <w:ind w:right="102"/>
        <w:jc w:val="both"/>
        <w:rPr>
          <w:bCs/>
          <w:szCs w:val="28"/>
        </w:rPr>
      </w:pPr>
      <w:r w:rsidRPr="009A190A">
        <w:rPr>
          <w:bCs/>
          <w:szCs w:val="28"/>
        </w:rPr>
        <w:t xml:space="preserve">проведення первинного скринінг для всіх новонароджених у закладах охорони здоров’я, що надають медичну допомогу при пологах, зазвичай перед випискою, але не пізніше 1-го місяця життя. Цільовий показник </w:t>
      </w:r>
      <w:r w:rsidRPr="009A190A">
        <w:rPr>
          <w:bCs/>
          <w:szCs w:val="28"/>
        </w:rPr>
        <w:lastRenderedPageBreak/>
        <w:t xml:space="preserve">становить 100 % охоплення, що спрямовано на своєчасне виявлення, ранню діагностику, а в подальшому розробку індивідуальних реабілітаційних планів та профілактику мовленнєвих, когнітивних порушень; </w:t>
      </w:r>
    </w:p>
    <w:p w14:paraId="6EC0B6D3" w14:textId="1D3EDA25" w:rsidR="009A190A" w:rsidRDefault="009A190A" w:rsidP="009A190A">
      <w:pPr>
        <w:pStyle w:val="ad"/>
        <w:widowControl w:val="0"/>
        <w:numPr>
          <w:ilvl w:val="0"/>
          <w:numId w:val="12"/>
        </w:numPr>
        <w:ind w:right="102"/>
        <w:jc w:val="both"/>
        <w:rPr>
          <w:bCs/>
          <w:szCs w:val="28"/>
        </w:rPr>
      </w:pPr>
      <w:r w:rsidRPr="009A190A">
        <w:rPr>
          <w:bCs/>
          <w:szCs w:val="28"/>
        </w:rPr>
        <w:t xml:space="preserve">створення багатоступеневого комплексу заходів, спрямованих на забезпечення послідовності діагностичних </w:t>
      </w:r>
      <w:proofErr w:type="spellStart"/>
      <w:r w:rsidRPr="009A190A">
        <w:rPr>
          <w:bCs/>
          <w:szCs w:val="28"/>
        </w:rPr>
        <w:t>втручань</w:t>
      </w:r>
      <w:proofErr w:type="spellEnd"/>
      <w:r w:rsidRPr="009A190A">
        <w:rPr>
          <w:bCs/>
          <w:szCs w:val="28"/>
        </w:rPr>
        <w:t xml:space="preserve"> на кожному з етапів скринінгу.</w:t>
      </w:r>
    </w:p>
    <w:p w14:paraId="6D58F0A2" w14:textId="77777777" w:rsidR="009E7357" w:rsidRDefault="009E7357" w:rsidP="009E7357">
      <w:pPr>
        <w:widowControl w:val="0"/>
        <w:ind w:right="102"/>
        <w:jc w:val="both"/>
        <w:rPr>
          <w:bCs/>
          <w:szCs w:val="28"/>
        </w:rPr>
      </w:pPr>
    </w:p>
    <w:p w14:paraId="4F75A452" w14:textId="7B989DAB" w:rsidR="009E7357" w:rsidRPr="00AE6257" w:rsidRDefault="009E7357" w:rsidP="009E735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1B738B">
        <w:rPr>
          <w:b/>
          <w:sz w:val="36"/>
          <w:szCs w:val="36"/>
        </w:rPr>
        <w:t>аказ</w:t>
      </w:r>
      <w:r>
        <w:rPr>
          <w:b/>
          <w:sz w:val="36"/>
          <w:szCs w:val="36"/>
        </w:rPr>
        <w:t>у</w:t>
      </w:r>
      <w:r w:rsidRPr="001B738B">
        <w:rPr>
          <w:b/>
          <w:sz w:val="36"/>
          <w:szCs w:val="36"/>
        </w:rPr>
        <w:t xml:space="preserve"> «</w:t>
      </w:r>
      <w:r w:rsidRPr="009E7357">
        <w:rPr>
          <w:b/>
          <w:sz w:val="36"/>
          <w:szCs w:val="36"/>
        </w:rPr>
        <w:t>Про затвердження Методики здійснення розрахунків електромагнітної сумісності</w:t>
      </w:r>
      <w:r w:rsidRPr="001B738B">
        <w:rPr>
          <w:b/>
          <w:sz w:val="36"/>
          <w:szCs w:val="36"/>
        </w:rPr>
        <w:t>»</w:t>
      </w:r>
      <w:r w:rsidRPr="00E514A1">
        <w:rPr>
          <w:b/>
          <w:sz w:val="36"/>
          <w:szCs w:val="36"/>
        </w:rPr>
        <w:t xml:space="preserve"> </w:t>
      </w:r>
      <w:r w:rsidRPr="00AE6257">
        <w:rPr>
          <w:b/>
          <w:sz w:val="36"/>
          <w:szCs w:val="36"/>
        </w:rPr>
        <w:t>вх.</w:t>
      </w:r>
      <w:r>
        <w:rPr>
          <w:b/>
          <w:sz w:val="36"/>
          <w:szCs w:val="36"/>
        </w:rPr>
        <w:t>1211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Мінцифри</w:t>
      </w:r>
      <w:proofErr w:type="spellEnd"/>
      <w:r w:rsidRPr="00AE6257">
        <w:rPr>
          <w:b/>
          <w:sz w:val="36"/>
          <w:szCs w:val="36"/>
        </w:rPr>
        <w:t>.</w:t>
      </w:r>
    </w:p>
    <w:p w14:paraId="50995B16" w14:textId="6C5F5FD8" w:rsidR="009E7357" w:rsidRDefault="009E7357" w:rsidP="009E735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Pr>
          <w:bCs/>
          <w:szCs w:val="28"/>
        </w:rPr>
        <w:t>розроблено з метою</w:t>
      </w:r>
      <w:r w:rsidRPr="009A190A">
        <w:rPr>
          <w:bCs/>
          <w:szCs w:val="28"/>
        </w:rPr>
        <w:t xml:space="preserve"> </w:t>
      </w:r>
      <w:r w:rsidRPr="009E7357">
        <w:rPr>
          <w:bCs/>
          <w:szCs w:val="28"/>
        </w:rPr>
        <w:t>приведення у відповідність до Закону України «Про електронні комунікації» в частині затвердження методики здійснення розрахунків електромагнітної сумісності з урахуванням документів Міжнародного союзу електрозв’язку.</w:t>
      </w:r>
    </w:p>
    <w:p w14:paraId="53FF6FA8" w14:textId="4A91B344" w:rsidR="009E7357" w:rsidRDefault="009E7357" w:rsidP="009E7357">
      <w:pPr>
        <w:widowControl w:val="0"/>
        <w:ind w:right="102" w:firstLine="708"/>
        <w:jc w:val="both"/>
        <w:rPr>
          <w:bCs/>
          <w:szCs w:val="28"/>
        </w:rPr>
      </w:pPr>
      <w:r w:rsidRPr="009E7357">
        <w:rPr>
          <w:bCs/>
          <w:szCs w:val="28"/>
        </w:rPr>
        <w:t xml:space="preserve">Проектом </w:t>
      </w:r>
      <w:proofErr w:type="spellStart"/>
      <w:r w:rsidRPr="009E7357">
        <w:rPr>
          <w:bCs/>
          <w:szCs w:val="28"/>
        </w:rPr>
        <w:t>акта</w:t>
      </w:r>
      <w:proofErr w:type="spellEnd"/>
      <w:r w:rsidRPr="009E7357">
        <w:rPr>
          <w:bCs/>
          <w:szCs w:val="28"/>
        </w:rPr>
        <w:t xml:space="preserve"> пропонується затвердити Методику здійснення розрахунків електромагнітної сумісності, якою визначається механізм проведення розрахунків електромагнітної сумісності (ЕМС) для присвоєння радіочастот радіообладнанню (РО) рухомої служби, радіомовної служби, фіксованої служби, супутникових служб радіозв’язку.</w:t>
      </w:r>
    </w:p>
    <w:p w14:paraId="667FFBA5" w14:textId="77777777" w:rsidR="006D1C9F" w:rsidRDefault="006D1C9F" w:rsidP="009E7357">
      <w:pPr>
        <w:widowControl w:val="0"/>
        <w:ind w:right="102" w:firstLine="708"/>
        <w:jc w:val="both"/>
        <w:rPr>
          <w:bCs/>
          <w:szCs w:val="28"/>
        </w:rPr>
      </w:pPr>
    </w:p>
    <w:p w14:paraId="273B5C4E" w14:textId="2A479D03" w:rsidR="006D1C9F" w:rsidRPr="00AE6257" w:rsidRDefault="006D1C9F" w:rsidP="006D1C9F">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1B738B">
        <w:rPr>
          <w:b/>
          <w:sz w:val="36"/>
          <w:szCs w:val="36"/>
        </w:rPr>
        <w:t>аказ</w:t>
      </w:r>
      <w:r>
        <w:rPr>
          <w:b/>
          <w:sz w:val="36"/>
          <w:szCs w:val="36"/>
        </w:rPr>
        <w:t>у</w:t>
      </w:r>
      <w:r w:rsidRPr="001B738B">
        <w:rPr>
          <w:b/>
          <w:sz w:val="36"/>
          <w:szCs w:val="36"/>
        </w:rPr>
        <w:t xml:space="preserve"> </w:t>
      </w:r>
      <w:r w:rsidRPr="006D1C9F">
        <w:rPr>
          <w:b/>
          <w:sz w:val="36"/>
          <w:szCs w:val="36"/>
        </w:rPr>
        <w:t>ЗУ «Про внесення змін до Кодексу України про адміністративні правопорушення з метою посилення відповідальності у сфері охорони і раціонального використання вод та відтворення водних ресурсів</w:t>
      </w:r>
      <w:r w:rsidRPr="001B738B">
        <w:rPr>
          <w:b/>
          <w:sz w:val="36"/>
          <w:szCs w:val="36"/>
        </w:rPr>
        <w:t>»</w:t>
      </w:r>
      <w:r w:rsidRPr="00E514A1">
        <w:rPr>
          <w:b/>
          <w:sz w:val="36"/>
          <w:szCs w:val="36"/>
        </w:rPr>
        <w:t xml:space="preserve"> </w:t>
      </w:r>
      <w:r w:rsidRPr="00AE6257">
        <w:rPr>
          <w:b/>
          <w:sz w:val="36"/>
          <w:szCs w:val="36"/>
        </w:rPr>
        <w:t>вх.</w:t>
      </w:r>
      <w:r>
        <w:rPr>
          <w:b/>
          <w:sz w:val="36"/>
          <w:szCs w:val="36"/>
        </w:rPr>
        <w:t>1215</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Держекоінспекція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616E9EAF" w14:textId="3C8EAB36" w:rsidR="006D1C9F" w:rsidRDefault="006D1C9F" w:rsidP="006D1C9F">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Pr>
          <w:bCs/>
          <w:szCs w:val="28"/>
        </w:rPr>
        <w:t>розроблено з метою</w:t>
      </w:r>
      <w:r w:rsidRPr="009A190A">
        <w:rPr>
          <w:bCs/>
          <w:szCs w:val="28"/>
        </w:rPr>
        <w:t xml:space="preserve"> </w:t>
      </w:r>
      <w:r w:rsidRPr="006D1C9F">
        <w:rPr>
          <w:bCs/>
          <w:szCs w:val="28"/>
        </w:rPr>
        <w:t>посилення відповідальності у сфері охорони і раціонального використання вод та відтворення водних ресурсів» є забезпечення екологічної безпеки, запобігання негативного впливу господарської та іншої діяльності на навколишнє природне середовище, збереження водних ресурсів, шляхом посилення відповідальності за порушення вимог природоохоронного законодавства у сфері охорони і раціонального використання вод та відтворення водних ресурсів.</w:t>
      </w:r>
    </w:p>
    <w:p w14:paraId="2BAA5F9D" w14:textId="77777777" w:rsidR="00C16316" w:rsidRDefault="00321F4E" w:rsidP="006D1C9F">
      <w:pPr>
        <w:widowControl w:val="0"/>
        <w:ind w:right="102" w:firstLine="708"/>
        <w:jc w:val="both"/>
        <w:rPr>
          <w:bCs/>
          <w:szCs w:val="28"/>
        </w:rPr>
      </w:pPr>
      <w:proofErr w:type="spellStart"/>
      <w:r w:rsidRPr="00321F4E">
        <w:rPr>
          <w:bCs/>
          <w:szCs w:val="28"/>
        </w:rPr>
        <w:t>Проєктом</w:t>
      </w:r>
      <w:proofErr w:type="spellEnd"/>
      <w:r w:rsidRPr="00321F4E">
        <w:rPr>
          <w:bCs/>
          <w:szCs w:val="28"/>
        </w:rPr>
        <w:t xml:space="preserve"> </w:t>
      </w:r>
      <w:proofErr w:type="spellStart"/>
      <w:r w:rsidRPr="00321F4E">
        <w:rPr>
          <w:bCs/>
          <w:szCs w:val="28"/>
        </w:rPr>
        <w:t>акта</w:t>
      </w:r>
      <w:proofErr w:type="spellEnd"/>
      <w:r w:rsidRPr="00321F4E">
        <w:rPr>
          <w:bCs/>
          <w:szCs w:val="28"/>
        </w:rPr>
        <w:t xml:space="preserve"> пропонується збільшити адміністративні санкції за правопорушення, передбачені статтями 48, 59, 591 , 60, 61, 771 Кодексу України про адміністративні правопорушення щодо збільшення розмірів штрафів за порушення вимог законодавства у сфері охорони і раціонального використання вод та відтворення водних ресурсів. </w:t>
      </w:r>
    </w:p>
    <w:p w14:paraId="4C709DDF" w14:textId="77777777" w:rsidR="00C16316" w:rsidRDefault="00321F4E" w:rsidP="006D1C9F">
      <w:pPr>
        <w:widowControl w:val="0"/>
        <w:ind w:right="102" w:firstLine="708"/>
        <w:jc w:val="both"/>
        <w:rPr>
          <w:bCs/>
          <w:szCs w:val="28"/>
        </w:rPr>
      </w:pPr>
      <w:r w:rsidRPr="00321F4E">
        <w:rPr>
          <w:bCs/>
          <w:szCs w:val="28"/>
        </w:rPr>
        <w:t xml:space="preserve">У низці статей розширюється склад правопорушень, зокрема, у частині: </w:t>
      </w:r>
    </w:p>
    <w:p w14:paraId="22EFE6D0" w14:textId="77777777" w:rsidR="00C16316" w:rsidRDefault="00321F4E" w:rsidP="006D1C9F">
      <w:pPr>
        <w:widowControl w:val="0"/>
        <w:ind w:right="102" w:firstLine="708"/>
        <w:jc w:val="both"/>
        <w:rPr>
          <w:bCs/>
          <w:szCs w:val="28"/>
        </w:rPr>
      </w:pPr>
      <w:r w:rsidRPr="00321F4E">
        <w:rPr>
          <w:bCs/>
          <w:szCs w:val="28"/>
        </w:rPr>
        <w:t xml:space="preserve">недотриманні умов дозволу або порушенні правил спеціального водокористування; </w:t>
      </w:r>
    </w:p>
    <w:p w14:paraId="229B064C" w14:textId="77777777" w:rsidR="00C16316" w:rsidRDefault="00321F4E" w:rsidP="006D1C9F">
      <w:pPr>
        <w:widowControl w:val="0"/>
        <w:ind w:right="102" w:firstLine="708"/>
        <w:jc w:val="both"/>
        <w:rPr>
          <w:bCs/>
          <w:szCs w:val="28"/>
        </w:rPr>
      </w:pPr>
      <w:r w:rsidRPr="00321F4E">
        <w:rPr>
          <w:bCs/>
          <w:szCs w:val="28"/>
        </w:rPr>
        <w:t xml:space="preserve">руйнування </w:t>
      </w:r>
      <w:proofErr w:type="spellStart"/>
      <w:r w:rsidRPr="00321F4E">
        <w:rPr>
          <w:bCs/>
          <w:szCs w:val="28"/>
        </w:rPr>
        <w:t>русел</w:t>
      </w:r>
      <w:proofErr w:type="spellEnd"/>
      <w:r w:rsidRPr="00321F4E">
        <w:rPr>
          <w:bCs/>
          <w:szCs w:val="28"/>
        </w:rPr>
        <w:t xml:space="preserve"> річок, струмків та водотоків або порушення природних умов поверхневого стоку під час будівництва і експлуатації автошляхів, залізниць та інших інженерних комунікацій; </w:t>
      </w:r>
    </w:p>
    <w:p w14:paraId="2328E315" w14:textId="77777777" w:rsidR="00C16316" w:rsidRDefault="00321F4E" w:rsidP="006D1C9F">
      <w:pPr>
        <w:widowControl w:val="0"/>
        <w:ind w:right="102" w:firstLine="708"/>
        <w:jc w:val="both"/>
        <w:rPr>
          <w:bCs/>
          <w:szCs w:val="28"/>
        </w:rPr>
      </w:pPr>
      <w:r w:rsidRPr="00321F4E">
        <w:rPr>
          <w:bCs/>
          <w:szCs w:val="28"/>
        </w:rPr>
        <w:lastRenderedPageBreak/>
        <w:t xml:space="preserve">порушення режиму господарської діяльності у водоохоронних зонах та на землях водного фонду; </w:t>
      </w:r>
    </w:p>
    <w:p w14:paraId="5984FBC8" w14:textId="304D5E56" w:rsidR="00321F4E" w:rsidRDefault="00321F4E" w:rsidP="006D1C9F">
      <w:pPr>
        <w:widowControl w:val="0"/>
        <w:ind w:right="102" w:firstLine="708"/>
        <w:jc w:val="both"/>
        <w:rPr>
          <w:bCs/>
          <w:szCs w:val="28"/>
        </w:rPr>
      </w:pPr>
      <w:r w:rsidRPr="00321F4E">
        <w:rPr>
          <w:bCs/>
          <w:szCs w:val="28"/>
        </w:rPr>
        <w:t>перекручення чи внесення недостовірних відомостей в документи державної статистичної звітності.</w:t>
      </w:r>
    </w:p>
    <w:p w14:paraId="583FA005" w14:textId="77777777" w:rsidR="00824D67" w:rsidRDefault="00824D67" w:rsidP="006D1C9F">
      <w:pPr>
        <w:widowControl w:val="0"/>
        <w:ind w:right="102" w:firstLine="708"/>
        <w:jc w:val="both"/>
        <w:rPr>
          <w:bCs/>
          <w:szCs w:val="28"/>
        </w:rPr>
      </w:pPr>
    </w:p>
    <w:p w14:paraId="731B822B" w14:textId="06E21001" w:rsidR="00824D67" w:rsidRPr="00AE6257" w:rsidRDefault="00824D67" w:rsidP="00824D6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1B738B">
        <w:rPr>
          <w:b/>
          <w:sz w:val="36"/>
          <w:szCs w:val="36"/>
        </w:rPr>
        <w:t>аказ</w:t>
      </w:r>
      <w:r>
        <w:rPr>
          <w:b/>
          <w:sz w:val="36"/>
          <w:szCs w:val="36"/>
        </w:rPr>
        <w:t>у</w:t>
      </w:r>
      <w:r w:rsidRPr="001B738B">
        <w:rPr>
          <w:b/>
          <w:sz w:val="36"/>
          <w:szCs w:val="36"/>
        </w:rPr>
        <w:t xml:space="preserve"> </w:t>
      </w:r>
      <w:r w:rsidRPr="006D1C9F">
        <w:rPr>
          <w:b/>
          <w:sz w:val="36"/>
          <w:szCs w:val="36"/>
        </w:rPr>
        <w:t>ЗУ «</w:t>
      </w:r>
      <w:r w:rsidRPr="00824D67">
        <w:rPr>
          <w:b/>
          <w:sz w:val="36"/>
          <w:szCs w:val="36"/>
        </w:rPr>
        <w:t>Про внесення змін до Закону України “Про ринок електричної енергії” щодо врегулювання питань забезпечення безпеки постачання електричної енергії</w:t>
      </w:r>
      <w:r w:rsidRPr="001B738B">
        <w:rPr>
          <w:b/>
          <w:sz w:val="36"/>
          <w:szCs w:val="36"/>
        </w:rPr>
        <w:t>»</w:t>
      </w:r>
      <w:r w:rsidRPr="00E514A1">
        <w:rPr>
          <w:b/>
          <w:sz w:val="36"/>
          <w:szCs w:val="36"/>
        </w:rPr>
        <w:t xml:space="preserve"> </w:t>
      </w:r>
      <w:r w:rsidRPr="00AE6257">
        <w:rPr>
          <w:b/>
          <w:sz w:val="36"/>
          <w:szCs w:val="36"/>
        </w:rPr>
        <w:t>вх.</w:t>
      </w:r>
      <w:r>
        <w:rPr>
          <w:b/>
          <w:sz w:val="36"/>
          <w:szCs w:val="36"/>
        </w:rPr>
        <w:t>662/1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Міненерго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179EEB2C" w14:textId="73D317BF" w:rsidR="00824D67" w:rsidRDefault="00824D67" w:rsidP="00824D6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Pr>
          <w:bCs/>
          <w:szCs w:val="28"/>
        </w:rPr>
        <w:t xml:space="preserve">розроблено з метою </w:t>
      </w:r>
      <w:r w:rsidRPr="00824D67">
        <w:rPr>
          <w:bCs/>
          <w:szCs w:val="28"/>
        </w:rPr>
        <w:t>посилення контролю і впливу держави за додержанням учасниками ринку електричної енергії (крім споживачів, не віднесених до особливої групи споживачів) вимог нормативно-правових актів в галузі електроенергетики в частині забезпечення надійного (безперервного) та безпечного постачання електричної енергії споживачам, у тому числі дотримання заходів з обмеження та/або припинення постачання електричної енергії споживачам, зокрема застосування графіків обмеження та аварійного відключення споживачів, а також протиаварійних систем зниження електроспоживання</w:t>
      </w:r>
      <w:r>
        <w:rPr>
          <w:bCs/>
          <w:szCs w:val="28"/>
        </w:rPr>
        <w:t>.</w:t>
      </w:r>
    </w:p>
    <w:p w14:paraId="27FB32BF" w14:textId="77777777" w:rsidR="00824D67" w:rsidRDefault="00824D67" w:rsidP="00824D67">
      <w:pPr>
        <w:widowControl w:val="0"/>
        <w:ind w:right="102" w:firstLine="708"/>
        <w:jc w:val="both"/>
        <w:rPr>
          <w:bCs/>
          <w:szCs w:val="28"/>
        </w:rPr>
      </w:pPr>
      <w:r w:rsidRPr="00824D67">
        <w:rPr>
          <w:bCs/>
          <w:szCs w:val="28"/>
        </w:rPr>
        <w:t xml:space="preserve">В умовах формування ринкових відносин держава повинна забезпечити споживачам можливість отримувати товари і послуги належної якості, надійність та безпеку постачання електричної енергії. Як елемент захисту споживача виникає необхідність в посиленні ролі держави у наглядових процесах на ринку електричної енергії. </w:t>
      </w:r>
    </w:p>
    <w:p w14:paraId="15022DBB" w14:textId="11348C68" w:rsidR="00824D67" w:rsidRDefault="00824D67" w:rsidP="00824D67">
      <w:pPr>
        <w:widowControl w:val="0"/>
        <w:ind w:right="102" w:firstLine="708"/>
        <w:jc w:val="both"/>
        <w:rPr>
          <w:bCs/>
          <w:szCs w:val="28"/>
        </w:rPr>
      </w:pPr>
      <w:r w:rsidRPr="00824D67">
        <w:rPr>
          <w:bCs/>
          <w:szCs w:val="28"/>
        </w:rPr>
        <w:t>Реалізація цього може бути здійснена шляхом гармонізації діючих законодавчих актів з формування ринку електричної енергії, зокрема, внесенням змін до Закону України «Про ринок електричної енергії» в частині конкретизації повноважень державних органів та введення вимог щодо забезпечення державного нагляду (контролю) в галузі електроенергетики.</w:t>
      </w:r>
    </w:p>
    <w:p w14:paraId="794E9C24" w14:textId="77777777" w:rsidR="00F34907" w:rsidRDefault="00F34907" w:rsidP="00824D67">
      <w:pPr>
        <w:widowControl w:val="0"/>
        <w:ind w:right="102" w:firstLine="708"/>
        <w:jc w:val="both"/>
        <w:rPr>
          <w:bCs/>
          <w:szCs w:val="28"/>
        </w:rPr>
      </w:pPr>
    </w:p>
    <w:p w14:paraId="09A2A26A" w14:textId="29EF2DB7" w:rsidR="00F34907" w:rsidRPr="00AE6257" w:rsidRDefault="00F34907" w:rsidP="00F3490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F34907">
        <w:rPr>
          <w:b/>
          <w:sz w:val="36"/>
          <w:szCs w:val="36"/>
        </w:rPr>
        <w:t>останов</w:t>
      </w:r>
      <w:r>
        <w:rPr>
          <w:b/>
          <w:sz w:val="36"/>
          <w:szCs w:val="36"/>
        </w:rPr>
        <w:t>и</w:t>
      </w:r>
      <w:r w:rsidRPr="00F34907">
        <w:rPr>
          <w:b/>
          <w:sz w:val="36"/>
          <w:szCs w:val="36"/>
        </w:rPr>
        <w:t xml:space="preserve"> КМУ «Про затвердження Порядку моніторингу рівня тарифів (цін) на універсальні електронні комунікаційні послуги» </w:t>
      </w:r>
      <w:r w:rsidRPr="00AE6257">
        <w:rPr>
          <w:b/>
          <w:sz w:val="36"/>
          <w:szCs w:val="36"/>
        </w:rPr>
        <w:t>вх.</w:t>
      </w:r>
      <w:r>
        <w:rPr>
          <w:b/>
          <w:sz w:val="36"/>
          <w:szCs w:val="36"/>
        </w:rPr>
        <w:t>1243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НКЕК</w:t>
      </w:r>
      <w:r w:rsidRPr="00AE6257">
        <w:rPr>
          <w:b/>
          <w:sz w:val="36"/>
          <w:szCs w:val="36"/>
        </w:rPr>
        <w:t>.</w:t>
      </w:r>
    </w:p>
    <w:p w14:paraId="542AD10C" w14:textId="02BDE6CA" w:rsidR="00F34907" w:rsidRDefault="00F34907" w:rsidP="00F3490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Pr>
          <w:bCs/>
          <w:szCs w:val="28"/>
        </w:rPr>
        <w:t xml:space="preserve">розроблено з метою </w:t>
      </w:r>
      <w:r w:rsidRPr="00F34907">
        <w:rPr>
          <w:bCs/>
          <w:szCs w:val="28"/>
        </w:rPr>
        <w:t>встановлення організаційних засад і механізму здійснення НКЕК моніторингу рівня тарифів (цін) на універсальні послуги задля визначення цінової доступності цих послуг для вразливих соціальних груп споживачів на всій території України, розроблення якого є виконанням вимог абзацу першого частини першої статті 100 Закону</w:t>
      </w:r>
      <w:r>
        <w:rPr>
          <w:bCs/>
          <w:szCs w:val="28"/>
        </w:rPr>
        <w:t xml:space="preserve"> </w:t>
      </w:r>
      <w:r w:rsidRPr="00F34907">
        <w:rPr>
          <w:bCs/>
          <w:szCs w:val="28"/>
        </w:rPr>
        <w:t>України «Про електронні комунікації».</w:t>
      </w:r>
    </w:p>
    <w:p w14:paraId="4BF7381A" w14:textId="77777777" w:rsidR="00F34907" w:rsidRDefault="00F34907" w:rsidP="00F34907">
      <w:pPr>
        <w:widowControl w:val="0"/>
        <w:ind w:right="102" w:firstLine="708"/>
        <w:jc w:val="both"/>
        <w:rPr>
          <w:bCs/>
          <w:szCs w:val="28"/>
        </w:rPr>
      </w:pPr>
      <w:proofErr w:type="spellStart"/>
      <w:r>
        <w:rPr>
          <w:bCs/>
          <w:szCs w:val="28"/>
        </w:rPr>
        <w:t>Проєктом</w:t>
      </w:r>
      <w:proofErr w:type="spellEnd"/>
      <w:r>
        <w:rPr>
          <w:bCs/>
          <w:szCs w:val="28"/>
        </w:rPr>
        <w:t xml:space="preserve"> постанови</w:t>
      </w:r>
      <w:r w:rsidRPr="00F34907">
        <w:rPr>
          <w:bCs/>
          <w:szCs w:val="28"/>
        </w:rPr>
        <w:t xml:space="preserve"> затверджується Порядок, який містить такі розділи:</w:t>
      </w:r>
    </w:p>
    <w:p w14:paraId="3C09C830" w14:textId="77777777" w:rsidR="00F34907" w:rsidRDefault="00F34907" w:rsidP="00F34907">
      <w:pPr>
        <w:widowControl w:val="0"/>
        <w:ind w:right="102" w:firstLine="708"/>
        <w:jc w:val="both"/>
        <w:rPr>
          <w:bCs/>
          <w:szCs w:val="28"/>
        </w:rPr>
      </w:pPr>
      <w:r w:rsidRPr="00F34907">
        <w:rPr>
          <w:bCs/>
          <w:szCs w:val="28"/>
        </w:rPr>
        <w:t xml:space="preserve">1. Загальні положення; </w:t>
      </w:r>
    </w:p>
    <w:p w14:paraId="7C2A0110" w14:textId="77777777" w:rsidR="00F34907" w:rsidRDefault="00F34907" w:rsidP="00F34907">
      <w:pPr>
        <w:widowControl w:val="0"/>
        <w:ind w:right="102" w:firstLine="708"/>
        <w:jc w:val="both"/>
        <w:rPr>
          <w:bCs/>
          <w:szCs w:val="28"/>
        </w:rPr>
      </w:pPr>
      <w:r w:rsidRPr="00F34907">
        <w:rPr>
          <w:bCs/>
          <w:szCs w:val="28"/>
        </w:rPr>
        <w:t xml:space="preserve">2. Здійснення моніторингу рівня тарифів (цін); </w:t>
      </w:r>
    </w:p>
    <w:p w14:paraId="60C0E70D" w14:textId="77777777" w:rsidR="00F34907" w:rsidRDefault="00F34907" w:rsidP="00F34907">
      <w:pPr>
        <w:widowControl w:val="0"/>
        <w:ind w:right="102" w:firstLine="708"/>
        <w:jc w:val="both"/>
        <w:rPr>
          <w:bCs/>
          <w:szCs w:val="28"/>
        </w:rPr>
      </w:pPr>
      <w:r w:rsidRPr="00F34907">
        <w:rPr>
          <w:bCs/>
          <w:szCs w:val="28"/>
        </w:rPr>
        <w:t xml:space="preserve">3.Результати моніторингу рівня тарифів (цін). </w:t>
      </w:r>
    </w:p>
    <w:p w14:paraId="063908F1" w14:textId="604BB8A2" w:rsidR="00F34907" w:rsidRDefault="00F34907" w:rsidP="00F34907">
      <w:pPr>
        <w:widowControl w:val="0"/>
        <w:ind w:right="102" w:firstLine="708"/>
        <w:jc w:val="both"/>
        <w:rPr>
          <w:bCs/>
          <w:szCs w:val="28"/>
        </w:rPr>
      </w:pPr>
      <w:r w:rsidRPr="00F34907">
        <w:rPr>
          <w:bCs/>
          <w:szCs w:val="28"/>
        </w:rPr>
        <w:t xml:space="preserve">Прийняття проекту регуляторного </w:t>
      </w:r>
      <w:proofErr w:type="spellStart"/>
      <w:r w:rsidRPr="00F34907">
        <w:rPr>
          <w:bCs/>
          <w:szCs w:val="28"/>
        </w:rPr>
        <w:t>акта</w:t>
      </w:r>
      <w:proofErr w:type="spellEnd"/>
      <w:r w:rsidRPr="00F34907">
        <w:rPr>
          <w:bCs/>
          <w:szCs w:val="28"/>
        </w:rPr>
        <w:t xml:space="preserve"> дозволить забезпечити виконання вимог абзацу першого частини першої статті 100 Закону та сприятиме створенню необхідних передумов для забезпечення цінової доступності універсальних послуг для вразливих соціальних груп споживачів, оскільки результати моніторингу в </w:t>
      </w:r>
      <w:r w:rsidRPr="00F34907">
        <w:rPr>
          <w:bCs/>
          <w:szCs w:val="28"/>
        </w:rPr>
        <w:lastRenderedPageBreak/>
        <w:t xml:space="preserve">подальшому будуть використані для оцінки доступності універсальної послуги та, за необхідності, вжиття конкретних заходів для сприяння наданню доступної універсальної послуги для окремих категорій споживачів, у </w:t>
      </w:r>
      <w:proofErr w:type="spellStart"/>
      <w:r w:rsidRPr="00F34907">
        <w:rPr>
          <w:bCs/>
          <w:szCs w:val="28"/>
        </w:rPr>
        <w:t>т.ч</w:t>
      </w:r>
      <w:proofErr w:type="spellEnd"/>
      <w:r w:rsidRPr="00F34907">
        <w:rPr>
          <w:bCs/>
          <w:szCs w:val="28"/>
        </w:rPr>
        <w:t>. з низьким рівнем доходу та особливими соціальними потребами, які не можуть дозволити собі платити за конкурентними ринковими цінами.</w:t>
      </w:r>
    </w:p>
    <w:p w14:paraId="2EB607C7" w14:textId="77777777" w:rsidR="00F34907" w:rsidRDefault="00F34907" w:rsidP="00F34907">
      <w:pPr>
        <w:widowControl w:val="0"/>
        <w:ind w:right="102" w:firstLine="708"/>
        <w:jc w:val="both"/>
        <w:rPr>
          <w:bCs/>
          <w:szCs w:val="28"/>
        </w:rPr>
      </w:pPr>
    </w:p>
    <w:p w14:paraId="619B6C3A" w14:textId="37D47061" w:rsidR="00F34907" w:rsidRPr="00AE6257" w:rsidRDefault="00F34907" w:rsidP="00F34907">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F34907">
        <w:rPr>
          <w:b/>
          <w:sz w:val="36"/>
          <w:szCs w:val="36"/>
        </w:rPr>
        <w:t>останов</w:t>
      </w:r>
      <w:r>
        <w:rPr>
          <w:b/>
          <w:sz w:val="36"/>
          <w:szCs w:val="36"/>
        </w:rPr>
        <w:t>и</w:t>
      </w:r>
      <w:r w:rsidRPr="00F34907">
        <w:rPr>
          <w:b/>
          <w:sz w:val="36"/>
          <w:szCs w:val="36"/>
        </w:rPr>
        <w:t xml:space="preserve"> КМУ «</w:t>
      </w:r>
      <w:r w:rsidR="00CB5A09" w:rsidRPr="00CB5A09">
        <w:rPr>
          <w:b/>
          <w:sz w:val="36"/>
          <w:szCs w:val="36"/>
        </w:rPr>
        <w:t>Про затвердження Критеріїв та їх значення для визначення цінової доступності універсальних електронних комунікаційних послуг</w:t>
      </w:r>
      <w:r w:rsidRPr="00F34907">
        <w:rPr>
          <w:b/>
          <w:sz w:val="36"/>
          <w:szCs w:val="36"/>
        </w:rPr>
        <w:t xml:space="preserve">» </w:t>
      </w:r>
      <w:r w:rsidRPr="00AE6257">
        <w:rPr>
          <w:b/>
          <w:sz w:val="36"/>
          <w:szCs w:val="36"/>
        </w:rPr>
        <w:t>вх.</w:t>
      </w:r>
      <w:r>
        <w:rPr>
          <w:b/>
          <w:sz w:val="36"/>
          <w:szCs w:val="36"/>
        </w:rPr>
        <w:t>1244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НКЕК</w:t>
      </w:r>
      <w:r w:rsidRPr="00AE6257">
        <w:rPr>
          <w:b/>
          <w:sz w:val="36"/>
          <w:szCs w:val="36"/>
        </w:rPr>
        <w:t>.</w:t>
      </w:r>
    </w:p>
    <w:p w14:paraId="18958080" w14:textId="55027EF2" w:rsidR="00F34907" w:rsidRDefault="00F34907" w:rsidP="00F3490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Pr>
          <w:bCs/>
          <w:szCs w:val="28"/>
        </w:rPr>
        <w:t xml:space="preserve">розроблено з метою </w:t>
      </w:r>
      <w:r w:rsidR="00AF223B" w:rsidRPr="00AF223B">
        <w:rPr>
          <w:bCs/>
          <w:szCs w:val="28"/>
        </w:rPr>
        <w:t>забезпечення реалізації єдиної державної політики у сфері електронних комунікацій в частині встановлення критеріїв та їх значень для визначення цінової доступності для споживачів на всій території України кожної з універсальних послуг.</w:t>
      </w:r>
    </w:p>
    <w:p w14:paraId="4DF94B0F" w14:textId="77777777" w:rsidR="0063306E" w:rsidRDefault="0063306E" w:rsidP="00F34907">
      <w:pPr>
        <w:widowControl w:val="0"/>
        <w:ind w:right="102" w:firstLine="708"/>
        <w:jc w:val="both"/>
        <w:rPr>
          <w:bCs/>
          <w:szCs w:val="28"/>
        </w:rPr>
      </w:pPr>
      <w:r w:rsidRPr="0063306E">
        <w:rPr>
          <w:bCs/>
          <w:szCs w:val="28"/>
        </w:rPr>
        <w:t xml:space="preserve">З метою встановлення критеріїв цінової доступності послуг голосових електронних комунікацій у фіксованому місці НКЕК проаналізовано обсяги споживання цих послуг за попередні роки, визначено середній обсяг споживання послуг на рівні 200 хвилин на місяць, а також враховано середню ринкову вартість тарифів, мінімальну заробітну плату та прожитковий мінімум, Це дозволило визначити, що критерій цінової доступності послуги голосових електронних комунікацій у фіксованому місці для споживачів в Україні може бути встановлено на рівні 2 % до середньомісячної мінімальної заробітної плати, або на рівні 6 % до прожиткового мінімуму на одну особу в розрахунку на місяць, або, з урахуванням середнього розміру домогосподарства в Україні 2,58 осіб, критерій цінової доступності послуги голосових електронних комунікацій у фіксованому місці для споживачів в Україні може бути встановлено на рівні 4 %. </w:t>
      </w:r>
    </w:p>
    <w:p w14:paraId="08DE284D" w14:textId="6D5E1930" w:rsidR="00AF223B" w:rsidRDefault="0063306E" w:rsidP="00F34907">
      <w:pPr>
        <w:widowControl w:val="0"/>
        <w:ind w:right="102" w:firstLine="708"/>
        <w:jc w:val="both"/>
        <w:rPr>
          <w:bCs/>
          <w:szCs w:val="28"/>
        </w:rPr>
      </w:pPr>
      <w:r w:rsidRPr="0063306E">
        <w:rPr>
          <w:bCs/>
          <w:szCs w:val="28"/>
        </w:rPr>
        <w:t>Для встановлення критеріїв цінової доступності послуги широкосмугового доступу до мережі Інтернет у фіксованому місці було здійснено моніторинг мінімальних місячних тарифів на послугу широкосмугового доступу до мережі Інтернет 20-ти найбільших за кількістю точок фіксованого доступу до мережі Інтернет постачальників та визначено середнє значення мінімально тарифу на зазначену послугу у розмірі – 203 грн. на місяць. На основі цього визначено, що критерій цінової доступності послуги широкосмугового доступу до мережі Інтернет у фіксованому місці для споживачів в Україні може бути встановлено на рівні 2,5 % до середньомісячної мінімальної заробітної плати, або на рівні 6,9 % до прожиткового мінімуму на одну особу в розрахунку на місяць. Таким чином, враховуючи середній розмір домогосподарства в Україні, критерій цінової доступності послуги широкосмугового доступу до мережі Інтернет у фіксованому місці може бути встановлено на рівні 5 %.</w:t>
      </w:r>
    </w:p>
    <w:p w14:paraId="6A503EED" w14:textId="16681CF6" w:rsidR="0063306E" w:rsidRDefault="0063306E" w:rsidP="00F34907">
      <w:pPr>
        <w:widowControl w:val="0"/>
        <w:ind w:right="102" w:firstLine="708"/>
        <w:jc w:val="both"/>
        <w:rPr>
          <w:bCs/>
          <w:szCs w:val="28"/>
        </w:rPr>
      </w:pPr>
      <w:r w:rsidRPr="0063306E">
        <w:rPr>
          <w:bCs/>
          <w:szCs w:val="28"/>
        </w:rPr>
        <w:t xml:space="preserve">Прийняття проекту </w:t>
      </w:r>
      <w:proofErr w:type="spellStart"/>
      <w:r w:rsidRPr="0063306E">
        <w:rPr>
          <w:bCs/>
          <w:szCs w:val="28"/>
        </w:rPr>
        <w:t>акта</w:t>
      </w:r>
      <w:proofErr w:type="spellEnd"/>
      <w:r w:rsidRPr="0063306E">
        <w:rPr>
          <w:bCs/>
          <w:szCs w:val="28"/>
        </w:rPr>
        <w:t xml:space="preserve"> дозволить забезпечити виконання вимог абзацу другого частини першої статті 100 Закону та сприятиме створенню необхідних передумов для забезпечення цінової доступності універсальних послуг для вразливих соціальних груп споживачів, оскільки визначені критерії в подальшому будуть використані при прийнятті рішення щодо отримання цільової адресної соціальної допомоги для споживачів з низьким рівнем доходу та особливими </w:t>
      </w:r>
      <w:r w:rsidRPr="0063306E">
        <w:rPr>
          <w:bCs/>
          <w:szCs w:val="28"/>
        </w:rPr>
        <w:lastRenderedPageBreak/>
        <w:t>соціальними потребами, які не можуть дозволити собі платити за конкурентними ринковими цінами.</w:t>
      </w:r>
    </w:p>
    <w:p w14:paraId="33C4F9C7" w14:textId="77777777" w:rsidR="000E7E62" w:rsidRDefault="000E7E62" w:rsidP="00F34907">
      <w:pPr>
        <w:widowControl w:val="0"/>
        <w:ind w:right="102" w:firstLine="708"/>
        <w:jc w:val="both"/>
        <w:rPr>
          <w:bCs/>
          <w:szCs w:val="28"/>
        </w:rPr>
      </w:pPr>
    </w:p>
    <w:p w14:paraId="632CBBC3" w14:textId="34544A1B" w:rsidR="00F4003E" w:rsidRPr="00AE6257" w:rsidRDefault="00F4003E" w:rsidP="00F4003E">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F091D">
        <w:rPr>
          <w:b/>
          <w:sz w:val="36"/>
          <w:szCs w:val="36"/>
        </w:rPr>
        <w:t>постанови КМУ «</w:t>
      </w:r>
      <w:r w:rsidRPr="00F4003E">
        <w:rPr>
          <w:b/>
          <w:sz w:val="36"/>
          <w:szCs w:val="36"/>
        </w:rPr>
        <w:t>Про внесення змін до Ліцензійних умов провадження господарської діяльності з медичної практики</w:t>
      </w:r>
      <w:r w:rsidRPr="005F091D">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w:t>
      </w:r>
      <w:r>
        <w:rPr>
          <w:b/>
          <w:sz w:val="36"/>
          <w:szCs w:val="36"/>
        </w:rPr>
        <w:t>254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05C1497C" w14:textId="0D55DFF8" w:rsidR="00F4003E" w:rsidRDefault="00F4003E" w:rsidP="00F4003E">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F4003E">
        <w:rPr>
          <w:bCs/>
          <w:szCs w:val="28"/>
        </w:rPr>
        <w:t>порядку удосконалення ліцензування господарської діяльності з медичної практики шляхом розмежування суб’єктів господарювання, які провадять господарську діяльність з медичної практики за видами надання медичної допомоги (екстрена, первинна, спеціалізована медична, паліативна та реабілітаційна допомога у сфері охорони здоров’я), та за лікарськими спеціальностями, спеціальностями молодших спеціалістів з медичною освітою та фахівцями з реабілітації, перелік яких затверджений Міністерством охорони здоров’я України</w:t>
      </w:r>
      <w:r>
        <w:rPr>
          <w:bCs/>
          <w:szCs w:val="28"/>
        </w:rPr>
        <w:t>.</w:t>
      </w:r>
    </w:p>
    <w:p w14:paraId="0B486084" w14:textId="77777777" w:rsidR="00F4003E" w:rsidRDefault="00F4003E" w:rsidP="00F4003E">
      <w:pPr>
        <w:widowControl w:val="0"/>
        <w:ind w:right="102" w:firstLine="708"/>
        <w:jc w:val="both"/>
        <w:rPr>
          <w:bCs/>
          <w:szCs w:val="28"/>
        </w:rPr>
      </w:pPr>
      <w:proofErr w:type="spellStart"/>
      <w:r>
        <w:rPr>
          <w:bCs/>
          <w:szCs w:val="28"/>
        </w:rPr>
        <w:t>П</w:t>
      </w:r>
      <w:r w:rsidRPr="00F4003E">
        <w:rPr>
          <w:bCs/>
          <w:szCs w:val="28"/>
        </w:rPr>
        <w:t>роєкт</w:t>
      </w:r>
      <w:proofErr w:type="spellEnd"/>
      <w:r w:rsidRPr="00F4003E">
        <w:rPr>
          <w:bCs/>
          <w:szCs w:val="28"/>
        </w:rPr>
        <w:t xml:space="preserve"> постанови дозволить: </w:t>
      </w:r>
    </w:p>
    <w:p w14:paraId="31E827C2" w14:textId="77777777" w:rsidR="00F4003E" w:rsidRPr="00F4003E" w:rsidRDefault="00F4003E" w:rsidP="00F4003E">
      <w:pPr>
        <w:pStyle w:val="ad"/>
        <w:widowControl w:val="0"/>
        <w:numPr>
          <w:ilvl w:val="0"/>
          <w:numId w:val="13"/>
        </w:numPr>
        <w:ind w:right="102"/>
        <w:jc w:val="both"/>
        <w:rPr>
          <w:bCs/>
          <w:szCs w:val="28"/>
        </w:rPr>
      </w:pPr>
      <w:r w:rsidRPr="00F4003E">
        <w:rPr>
          <w:bCs/>
          <w:szCs w:val="28"/>
        </w:rPr>
        <w:t xml:space="preserve">визначити однозначні та прозорі вимоги до провадження господарської діяльності з медичної практики за видами медичної та реабілітаційної допомоги та медичними спеціальностями; </w:t>
      </w:r>
    </w:p>
    <w:p w14:paraId="5AFB034F" w14:textId="77777777" w:rsidR="00F4003E" w:rsidRPr="00F4003E" w:rsidRDefault="00F4003E" w:rsidP="00F4003E">
      <w:pPr>
        <w:pStyle w:val="ad"/>
        <w:widowControl w:val="0"/>
        <w:numPr>
          <w:ilvl w:val="0"/>
          <w:numId w:val="13"/>
        </w:numPr>
        <w:ind w:right="102"/>
        <w:jc w:val="both"/>
        <w:rPr>
          <w:bCs/>
          <w:szCs w:val="28"/>
        </w:rPr>
      </w:pPr>
      <w:r w:rsidRPr="00F4003E">
        <w:rPr>
          <w:bCs/>
          <w:szCs w:val="28"/>
        </w:rPr>
        <w:t xml:space="preserve">позитивно вплинути на доступність медичної допомоги для громадян, – належний контроль за діяльністю ліцензіатів, які надають пацієнтам замісну підтримуючу терапію з використанням наркотичних засобів, а також фізичних осіб – підприємців, які провадять господарську діяльність з медичної практики за лікарською спеціальністю «наркологія»; </w:t>
      </w:r>
    </w:p>
    <w:p w14:paraId="2472F7D0" w14:textId="3249F9A5" w:rsidR="00F4003E" w:rsidRPr="00F4003E" w:rsidRDefault="00F4003E" w:rsidP="00F4003E">
      <w:pPr>
        <w:pStyle w:val="ad"/>
        <w:widowControl w:val="0"/>
        <w:numPr>
          <w:ilvl w:val="0"/>
          <w:numId w:val="13"/>
        </w:numPr>
        <w:ind w:right="102"/>
        <w:jc w:val="both"/>
        <w:rPr>
          <w:bCs/>
          <w:szCs w:val="28"/>
        </w:rPr>
      </w:pPr>
      <w:r w:rsidRPr="00F4003E">
        <w:rPr>
          <w:bCs/>
          <w:szCs w:val="28"/>
        </w:rPr>
        <w:t>для суб’єктів господарювання встановити чіткі вимоги провадження господарської діяльності з медичної практики та спростить інструменти впливу під час проведення заходів державного нагляду (контролю).</w:t>
      </w:r>
    </w:p>
    <w:p w14:paraId="270A0D5D" w14:textId="77777777" w:rsidR="000E7E62" w:rsidRDefault="000E7E62" w:rsidP="00F34907">
      <w:pPr>
        <w:widowControl w:val="0"/>
        <w:ind w:right="102" w:firstLine="708"/>
        <w:jc w:val="both"/>
        <w:rPr>
          <w:bCs/>
          <w:szCs w:val="28"/>
        </w:rPr>
      </w:pPr>
    </w:p>
    <w:p w14:paraId="4562AA1A" w14:textId="3100ED5E" w:rsidR="001B477D" w:rsidRPr="00AE6257" w:rsidRDefault="001B477D" w:rsidP="001B477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F091D">
        <w:rPr>
          <w:b/>
          <w:sz w:val="36"/>
          <w:szCs w:val="36"/>
        </w:rPr>
        <w:t>постанови КМУ «</w:t>
      </w:r>
      <w:r w:rsidRPr="001B477D">
        <w:rPr>
          <w:b/>
          <w:sz w:val="36"/>
          <w:szCs w:val="36"/>
        </w:rPr>
        <w:t>Про внесення зміни до пункту 18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5F091D">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12</w:t>
      </w:r>
      <w:r>
        <w:rPr>
          <w:b/>
          <w:sz w:val="36"/>
          <w:szCs w:val="36"/>
        </w:rPr>
        <w:t>69</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w:t>
      </w:r>
      <w:r>
        <w:rPr>
          <w:b/>
          <w:sz w:val="36"/>
          <w:szCs w:val="36"/>
        </w:rPr>
        <w:t>інрозвитку</w:t>
      </w:r>
      <w:proofErr w:type="spellEnd"/>
      <w:r w:rsidRPr="00AE6257">
        <w:rPr>
          <w:b/>
          <w:sz w:val="36"/>
          <w:szCs w:val="36"/>
        </w:rPr>
        <w:t>.</w:t>
      </w:r>
    </w:p>
    <w:p w14:paraId="2BB7CDE6" w14:textId="6F68ABCD" w:rsidR="001B477D" w:rsidRDefault="001B477D" w:rsidP="001B477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EB6D4D">
        <w:rPr>
          <w:bCs/>
          <w:szCs w:val="28"/>
        </w:rPr>
        <w:t xml:space="preserve"> </w:t>
      </w:r>
      <w:r w:rsidR="00EB6D4D" w:rsidRPr="00EB6D4D">
        <w:rPr>
          <w:bCs/>
          <w:szCs w:val="28"/>
        </w:rPr>
        <w:t>вдосконалення механізму під час формування тарифів на послугу/операції з управління побутовими відходами.</w:t>
      </w:r>
    </w:p>
    <w:p w14:paraId="0EB1A450" w14:textId="7552BCB6" w:rsidR="00EB6D4D" w:rsidRDefault="00EB6D4D" w:rsidP="001B477D">
      <w:pPr>
        <w:widowControl w:val="0"/>
        <w:ind w:right="102" w:firstLine="708"/>
        <w:jc w:val="both"/>
        <w:rPr>
          <w:bCs/>
          <w:szCs w:val="28"/>
        </w:rPr>
      </w:pPr>
      <w:proofErr w:type="spellStart"/>
      <w:r w:rsidRPr="00EB6D4D">
        <w:rPr>
          <w:bCs/>
          <w:szCs w:val="28"/>
        </w:rPr>
        <w:t>Проєктом</w:t>
      </w:r>
      <w:proofErr w:type="spellEnd"/>
      <w:r w:rsidRPr="00EB6D4D">
        <w:rPr>
          <w:bCs/>
          <w:szCs w:val="28"/>
        </w:rPr>
        <w:t xml:space="preserve"> </w:t>
      </w:r>
      <w:proofErr w:type="spellStart"/>
      <w:r w:rsidRPr="00EB6D4D">
        <w:rPr>
          <w:bCs/>
          <w:szCs w:val="28"/>
        </w:rPr>
        <w:t>акта</w:t>
      </w:r>
      <w:proofErr w:type="spellEnd"/>
      <w:r w:rsidRPr="00EB6D4D">
        <w:rPr>
          <w:bCs/>
          <w:szCs w:val="28"/>
        </w:rPr>
        <w:t xml:space="preserve"> передбачено внесення зміни до пункту 18 Порядку, якою врегульоване питання включення до витрат інших прямих витрат, що включаються до виробничої собівартості і до складу яких включаються всі необхідні виробничі витрати, які можуть бути безпосередньо віднесені до конкретного об’єкта витрат.</w:t>
      </w:r>
    </w:p>
    <w:p w14:paraId="5D619BCA" w14:textId="77777777" w:rsidR="00EB6D4D" w:rsidRDefault="00EB6D4D" w:rsidP="001B477D">
      <w:pPr>
        <w:widowControl w:val="0"/>
        <w:ind w:right="102" w:firstLine="708"/>
        <w:jc w:val="both"/>
        <w:rPr>
          <w:bCs/>
          <w:szCs w:val="28"/>
        </w:rPr>
      </w:pPr>
    </w:p>
    <w:p w14:paraId="5FC4EEC5" w14:textId="47D7F55C" w:rsidR="002B20A7" w:rsidRPr="00AE6257" w:rsidRDefault="002B20A7" w:rsidP="002B20A7">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5F091D">
        <w:rPr>
          <w:b/>
          <w:sz w:val="36"/>
          <w:szCs w:val="36"/>
        </w:rPr>
        <w:t>постанови КМУ «</w:t>
      </w:r>
      <w:r w:rsidRPr="002B20A7">
        <w:rPr>
          <w:b/>
          <w:sz w:val="36"/>
          <w:szCs w:val="36"/>
        </w:rPr>
        <w:t xml:space="preserve">Про внесення змін до Порядку придбання, зберігання, перевезення і використання спортивної зброї, боєприпасів до неї, утримання стрілецьких </w:t>
      </w:r>
      <w:r w:rsidRPr="002B20A7">
        <w:rPr>
          <w:b/>
          <w:sz w:val="36"/>
          <w:szCs w:val="36"/>
        </w:rPr>
        <w:lastRenderedPageBreak/>
        <w:t>тирів, стрільбищ та стендів</w:t>
      </w:r>
      <w:r w:rsidRPr="005F091D">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12</w:t>
      </w:r>
      <w:r>
        <w:rPr>
          <w:b/>
          <w:sz w:val="36"/>
          <w:szCs w:val="36"/>
        </w:rPr>
        <w:t>5</w:t>
      </w:r>
      <w:r>
        <w:rPr>
          <w:b/>
          <w:sz w:val="36"/>
          <w:szCs w:val="36"/>
        </w:rPr>
        <w:t>6</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w:t>
      </w:r>
      <w:r>
        <w:rPr>
          <w:b/>
          <w:sz w:val="36"/>
          <w:szCs w:val="36"/>
        </w:rPr>
        <w:t>молодьспорт</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1A2A31CB" w14:textId="5ED6360B" w:rsidR="002B20A7" w:rsidRDefault="002B20A7" w:rsidP="002B20A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4F67F5">
        <w:rPr>
          <w:bCs/>
          <w:szCs w:val="28"/>
        </w:rPr>
        <w:t xml:space="preserve"> </w:t>
      </w:r>
      <w:r w:rsidR="004F67F5" w:rsidRPr="004F67F5">
        <w:rPr>
          <w:bCs/>
          <w:szCs w:val="28"/>
        </w:rPr>
        <w:t xml:space="preserve">спрощення організації та запровадження в закладах освіти занять щодо безпечного поводження та використання спортивної зброї, боєприпасів до неї, утримання стрілецьких тирів, стрільбищ та стендів, а також у частині придбання, зберігання, перевезення спортивної вогнепальної зброї та у частині визнання суб’єктів сфери фізичної культури і спорту для закладів спеціалізованої освіти спортивного профілю із специфічними умовами навчання, закладів освіти, баз олімпійської, </w:t>
      </w:r>
      <w:proofErr w:type="spellStart"/>
      <w:r w:rsidR="004F67F5" w:rsidRPr="004F67F5">
        <w:rPr>
          <w:bCs/>
          <w:szCs w:val="28"/>
        </w:rPr>
        <w:t>паралімпійської</w:t>
      </w:r>
      <w:proofErr w:type="spellEnd"/>
      <w:r w:rsidR="004F67F5" w:rsidRPr="004F67F5">
        <w:rPr>
          <w:bCs/>
          <w:szCs w:val="28"/>
        </w:rPr>
        <w:t xml:space="preserve"> та </w:t>
      </w:r>
      <w:proofErr w:type="spellStart"/>
      <w:r w:rsidR="004F67F5" w:rsidRPr="004F67F5">
        <w:rPr>
          <w:bCs/>
          <w:szCs w:val="28"/>
        </w:rPr>
        <w:t>дефлімпійської</w:t>
      </w:r>
      <w:proofErr w:type="spellEnd"/>
      <w:r w:rsidR="004F67F5" w:rsidRPr="004F67F5">
        <w:rPr>
          <w:bCs/>
          <w:szCs w:val="28"/>
        </w:rPr>
        <w:t xml:space="preserve"> підготовки.</w:t>
      </w:r>
    </w:p>
    <w:p w14:paraId="75C960A8" w14:textId="77777777" w:rsidR="004F67F5" w:rsidRDefault="004F67F5" w:rsidP="002B20A7">
      <w:pPr>
        <w:widowControl w:val="0"/>
        <w:ind w:right="102" w:firstLine="708"/>
        <w:jc w:val="both"/>
        <w:rPr>
          <w:bCs/>
          <w:szCs w:val="28"/>
        </w:rPr>
      </w:pPr>
      <w:proofErr w:type="spellStart"/>
      <w:r w:rsidRPr="004F67F5">
        <w:rPr>
          <w:bCs/>
          <w:szCs w:val="28"/>
        </w:rPr>
        <w:t>Проєктом</w:t>
      </w:r>
      <w:proofErr w:type="spellEnd"/>
      <w:r w:rsidRPr="004F67F5">
        <w:rPr>
          <w:bCs/>
          <w:szCs w:val="28"/>
        </w:rPr>
        <w:t xml:space="preserve"> </w:t>
      </w:r>
      <w:proofErr w:type="spellStart"/>
      <w:r w:rsidRPr="004F67F5">
        <w:rPr>
          <w:bCs/>
          <w:szCs w:val="28"/>
        </w:rPr>
        <w:t>акта</w:t>
      </w:r>
      <w:proofErr w:type="spellEnd"/>
      <w:r w:rsidRPr="004F67F5">
        <w:rPr>
          <w:bCs/>
          <w:szCs w:val="28"/>
        </w:rPr>
        <w:t xml:space="preserve"> передбачено </w:t>
      </w:r>
      <w:proofErr w:type="spellStart"/>
      <w:r w:rsidRPr="004F67F5">
        <w:rPr>
          <w:bCs/>
          <w:szCs w:val="28"/>
        </w:rPr>
        <w:t>внести</w:t>
      </w:r>
      <w:proofErr w:type="spellEnd"/>
      <w:r w:rsidRPr="004F67F5">
        <w:rPr>
          <w:bCs/>
          <w:szCs w:val="28"/>
        </w:rPr>
        <w:t xml:space="preserve"> зміни до Порядку придбання, зберігання, перевезення і використання спортивної зброї, боєприпасів до неї, утримання стрілецьких тирів, стрільбищ та стендів, доповнивши його новими нормами:</w:t>
      </w:r>
    </w:p>
    <w:p w14:paraId="5EDD9C1C" w14:textId="77777777" w:rsidR="004F67F5" w:rsidRPr="004F67F5" w:rsidRDefault="004F67F5" w:rsidP="004F67F5">
      <w:pPr>
        <w:pStyle w:val="ad"/>
        <w:widowControl w:val="0"/>
        <w:numPr>
          <w:ilvl w:val="0"/>
          <w:numId w:val="14"/>
        </w:numPr>
        <w:ind w:right="102"/>
        <w:jc w:val="both"/>
        <w:rPr>
          <w:bCs/>
          <w:szCs w:val="28"/>
        </w:rPr>
      </w:pPr>
      <w:r w:rsidRPr="004F67F5">
        <w:rPr>
          <w:bCs/>
          <w:szCs w:val="28"/>
        </w:rPr>
        <w:t xml:space="preserve">вимогами щодо ввезення до України спортивної вогнепальної зброї (крім бойової), основних частин та боєприпасів до неї, пневматичної спортивної зброї, боєприпасів до неї для представників іноземних спортивних делегацій; </w:t>
      </w:r>
    </w:p>
    <w:p w14:paraId="0A3F5BC1" w14:textId="3BAFB5C8" w:rsidR="004F67F5" w:rsidRPr="004F67F5" w:rsidRDefault="004F67F5" w:rsidP="004F67F5">
      <w:pPr>
        <w:pStyle w:val="ad"/>
        <w:widowControl w:val="0"/>
        <w:numPr>
          <w:ilvl w:val="0"/>
          <w:numId w:val="14"/>
        </w:numPr>
        <w:ind w:right="102"/>
        <w:jc w:val="both"/>
        <w:rPr>
          <w:bCs/>
          <w:szCs w:val="28"/>
        </w:rPr>
      </w:pPr>
      <w:r w:rsidRPr="004F67F5">
        <w:rPr>
          <w:bCs/>
          <w:szCs w:val="28"/>
        </w:rPr>
        <w:t xml:space="preserve">вимогами до закладів освіти, баз олімпійської, </w:t>
      </w:r>
      <w:proofErr w:type="spellStart"/>
      <w:r w:rsidRPr="004F67F5">
        <w:rPr>
          <w:bCs/>
          <w:szCs w:val="28"/>
        </w:rPr>
        <w:t>паралімпійської</w:t>
      </w:r>
      <w:proofErr w:type="spellEnd"/>
      <w:r w:rsidRPr="004F67F5">
        <w:rPr>
          <w:bCs/>
          <w:szCs w:val="28"/>
        </w:rPr>
        <w:t xml:space="preserve"> та </w:t>
      </w:r>
      <w:proofErr w:type="spellStart"/>
      <w:r w:rsidRPr="004F67F5">
        <w:rPr>
          <w:bCs/>
          <w:szCs w:val="28"/>
        </w:rPr>
        <w:t>дефлімпійської</w:t>
      </w:r>
      <w:proofErr w:type="spellEnd"/>
      <w:r w:rsidRPr="004F67F5">
        <w:rPr>
          <w:bCs/>
          <w:szCs w:val="28"/>
        </w:rPr>
        <w:t xml:space="preserve"> підготовки суб’єктами сфери фізичної культури і спорту, що мають право використовувати у своїй діяльності спортивну вогнепальну зброю (крім бойової); </w:t>
      </w:r>
    </w:p>
    <w:p w14:paraId="4B3291E4" w14:textId="77777777" w:rsidR="004F67F5" w:rsidRPr="004F67F5" w:rsidRDefault="004F67F5" w:rsidP="004F67F5">
      <w:pPr>
        <w:pStyle w:val="ad"/>
        <w:widowControl w:val="0"/>
        <w:numPr>
          <w:ilvl w:val="0"/>
          <w:numId w:val="14"/>
        </w:numPr>
        <w:ind w:right="102"/>
        <w:jc w:val="both"/>
        <w:rPr>
          <w:bCs/>
          <w:szCs w:val="28"/>
        </w:rPr>
      </w:pPr>
      <w:r w:rsidRPr="004F67F5">
        <w:rPr>
          <w:bCs/>
          <w:szCs w:val="28"/>
        </w:rPr>
        <w:t>терміном визнання суб’єкта сфери фізичної культури і спорту, що має право використовувати у своїй діяльності спортивну вогнепальну зброю (крім бойової);</w:t>
      </w:r>
    </w:p>
    <w:p w14:paraId="7814B003" w14:textId="6E13B3B0" w:rsidR="004F67F5" w:rsidRPr="004F67F5" w:rsidRDefault="004F67F5" w:rsidP="004F67F5">
      <w:pPr>
        <w:pStyle w:val="ad"/>
        <w:widowControl w:val="0"/>
        <w:numPr>
          <w:ilvl w:val="0"/>
          <w:numId w:val="14"/>
        </w:numPr>
        <w:ind w:right="102"/>
        <w:jc w:val="both"/>
        <w:rPr>
          <w:bCs/>
          <w:szCs w:val="28"/>
        </w:rPr>
      </w:pPr>
      <w:r w:rsidRPr="004F67F5">
        <w:rPr>
          <w:bCs/>
          <w:szCs w:val="28"/>
        </w:rPr>
        <w:t xml:space="preserve">умовами щодо позбавлення визнання закладу фізичної культури і спорту та/або закладу освіти, баз олімпійської, </w:t>
      </w:r>
      <w:proofErr w:type="spellStart"/>
      <w:r w:rsidRPr="004F67F5">
        <w:rPr>
          <w:bCs/>
          <w:szCs w:val="28"/>
        </w:rPr>
        <w:t>паралімпійської</w:t>
      </w:r>
      <w:proofErr w:type="spellEnd"/>
      <w:r w:rsidRPr="004F67F5">
        <w:rPr>
          <w:bCs/>
          <w:szCs w:val="28"/>
        </w:rPr>
        <w:t xml:space="preserve"> та </w:t>
      </w:r>
      <w:proofErr w:type="spellStart"/>
      <w:r w:rsidRPr="004F67F5">
        <w:rPr>
          <w:bCs/>
          <w:szCs w:val="28"/>
        </w:rPr>
        <w:t>дефлімпійської</w:t>
      </w:r>
      <w:proofErr w:type="spellEnd"/>
      <w:r w:rsidRPr="004F67F5">
        <w:rPr>
          <w:bCs/>
          <w:szCs w:val="28"/>
        </w:rPr>
        <w:t xml:space="preserve"> підготовки суб’єкта сфери фізичної культури і спорту, що має право використовувати у своїй діяльності спортивну вогнепальну зброю (крім бойової). </w:t>
      </w:r>
    </w:p>
    <w:p w14:paraId="3E02BC04" w14:textId="76BAD1EF" w:rsidR="004F67F5" w:rsidRDefault="004F67F5" w:rsidP="002B20A7">
      <w:pPr>
        <w:widowControl w:val="0"/>
        <w:ind w:right="102" w:firstLine="708"/>
        <w:jc w:val="both"/>
        <w:rPr>
          <w:bCs/>
          <w:szCs w:val="28"/>
        </w:rPr>
      </w:pPr>
      <w:r w:rsidRPr="004F67F5">
        <w:rPr>
          <w:bCs/>
          <w:szCs w:val="28"/>
        </w:rPr>
        <w:t>Крім того Порядок придбання, зберігання, перевезення і використання спортивної зброї, боєприпасів до неї, утримання стрілецьких тирів, стрільбищ та стендів доповнено додатком у формі таблиці «Книга обліку видачі і прийняття спортивної вогнепальної зброї (крім бойової), основних частин та боєприпасів до неї, пневматичної спортивної зброї, боєприпасів до неї».</w:t>
      </w:r>
    </w:p>
    <w:sectPr w:rsidR="004F67F5"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8C61EE2"/>
    <w:multiLevelType w:val="hybridMultilevel"/>
    <w:tmpl w:val="E8C0BD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BD7389A"/>
    <w:multiLevelType w:val="hybridMultilevel"/>
    <w:tmpl w:val="4336DC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6"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60E61E2D"/>
    <w:multiLevelType w:val="hybridMultilevel"/>
    <w:tmpl w:val="BF84CC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662F6D36"/>
    <w:multiLevelType w:val="hybridMultilevel"/>
    <w:tmpl w:val="E29AF1E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1"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77D15C58"/>
    <w:multiLevelType w:val="hybridMultilevel"/>
    <w:tmpl w:val="AB8CBF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7C1B5E04"/>
    <w:multiLevelType w:val="hybridMultilevel"/>
    <w:tmpl w:val="24F4FB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82380190">
    <w:abstractNumId w:val="0"/>
  </w:num>
  <w:num w:numId="2" w16cid:durableId="1319722232">
    <w:abstractNumId w:val="11"/>
  </w:num>
  <w:num w:numId="3" w16cid:durableId="310985762">
    <w:abstractNumId w:val="4"/>
  </w:num>
  <w:num w:numId="4" w16cid:durableId="234705042">
    <w:abstractNumId w:val="1"/>
  </w:num>
  <w:num w:numId="5" w16cid:durableId="753168295">
    <w:abstractNumId w:val="6"/>
  </w:num>
  <w:num w:numId="6" w16cid:durableId="88358190">
    <w:abstractNumId w:val="9"/>
  </w:num>
  <w:num w:numId="7" w16cid:durableId="653872599">
    <w:abstractNumId w:val="10"/>
  </w:num>
  <w:num w:numId="8" w16cid:durableId="1673727379">
    <w:abstractNumId w:val="5"/>
  </w:num>
  <w:num w:numId="9" w16cid:durableId="872808810">
    <w:abstractNumId w:val="12"/>
  </w:num>
  <w:num w:numId="10" w16cid:durableId="1741171817">
    <w:abstractNumId w:val="8"/>
  </w:num>
  <w:num w:numId="11" w16cid:durableId="725181539">
    <w:abstractNumId w:val="13"/>
  </w:num>
  <w:num w:numId="12" w16cid:durableId="1238828749">
    <w:abstractNumId w:val="2"/>
  </w:num>
  <w:num w:numId="13" w16cid:durableId="616984212">
    <w:abstractNumId w:val="7"/>
  </w:num>
  <w:num w:numId="14" w16cid:durableId="43725915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1095E"/>
    <w:rsid w:val="0001173D"/>
    <w:rsid w:val="00011EDF"/>
    <w:rsid w:val="0001242E"/>
    <w:rsid w:val="00012690"/>
    <w:rsid w:val="00012F30"/>
    <w:rsid w:val="00013D33"/>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E7E62"/>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3EF1"/>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D58"/>
    <w:rsid w:val="001B3445"/>
    <w:rsid w:val="001B38BD"/>
    <w:rsid w:val="001B4273"/>
    <w:rsid w:val="001B477D"/>
    <w:rsid w:val="001B717F"/>
    <w:rsid w:val="001B738B"/>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2D8E"/>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85A"/>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0A7"/>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4685"/>
    <w:rsid w:val="002D54FD"/>
    <w:rsid w:val="002D61A9"/>
    <w:rsid w:val="002D6C57"/>
    <w:rsid w:val="002D6EDC"/>
    <w:rsid w:val="002D76CC"/>
    <w:rsid w:val="002D7FAC"/>
    <w:rsid w:val="002E08C6"/>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1F4E"/>
    <w:rsid w:val="003234E6"/>
    <w:rsid w:val="00323B4D"/>
    <w:rsid w:val="00324BAE"/>
    <w:rsid w:val="00324E0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40B5"/>
    <w:rsid w:val="00375293"/>
    <w:rsid w:val="00375A6C"/>
    <w:rsid w:val="00375B59"/>
    <w:rsid w:val="00375EC3"/>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A80"/>
    <w:rsid w:val="003B0EC3"/>
    <w:rsid w:val="003B2535"/>
    <w:rsid w:val="003B34FF"/>
    <w:rsid w:val="003B3978"/>
    <w:rsid w:val="003B39FB"/>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860"/>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42E"/>
    <w:rsid w:val="004B7C35"/>
    <w:rsid w:val="004C0E61"/>
    <w:rsid w:val="004C3728"/>
    <w:rsid w:val="004C3C2B"/>
    <w:rsid w:val="004C42D2"/>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67F5"/>
    <w:rsid w:val="004F7294"/>
    <w:rsid w:val="004F747A"/>
    <w:rsid w:val="004F7FB0"/>
    <w:rsid w:val="00501E6F"/>
    <w:rsid w:val="00502DBD"/>
    <w:rsid w:val="005035BB"/>
    <w:rsid w:val="00504A1B"/>
    <w:rsid w:val="00504C12"/>
    <w:rsid w:val="00506428"/>
    <w:rsid w:val="00507615"/>
    <w:rsid w:val="0050761B"/>
    <w:rsid w:val="00507D7C"/>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A2"/>
    <w:rsid w:val="00547AEC"/>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091D"/>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06E"/>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4A0C"/>
    <w:rsid w:val="006A566A"/>
    <w:rsid w:val="006A6E00"/>
    <w:rsid w:val="006B01AE"/>
    <w:rsid w:val="006B12C8"/>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1C9F"/>
    <w:rsid w:val="006D200B"/>
    <w:rsid w:val="006D23E5"/>
    <w:rsid w:val="006D258D"/>
    <w:rsid w:val="006D3315"/>
    <w:rsid w:val="006D3C01"/>
    <w:rsid w:val="006D4298"/>
    <w:rsid w:val="006D4863"/>
    <w:rsid w:val="006D5777"/>
    <w:rsid w:val="006D5D82"/>
    <w:rsid w:val="006D6667"/>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FAA"/>
    <w:rsid w:val="00731A64"/>
    <w:rsid w:val="00731D54"/>
    <w:rsid w:val="00732A56"/>
    <w:rsid w:val="007333AC"/>
    <w:rsid w:val="007333E9"/>
    <w:rsid w:val="00733C38"/>
    <w:rsid w:val="007342A7"/>
    <w:rsid w:val="0073543B"/>
    <w:rsid w:val="00735C7D"/>
    <w:rsid w:val="00736FE4"/>
    <w:rsid w:val="00737349"/>
    <w:rsid w:val="00737636"/>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0B3C"/>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4141"/>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67"/>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BA"/>
    <w:rsid w:val="008959D9"/>
    <w:rsid w:val="00897B64"/>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819"/>
    <w:rsid w:val="008F2C9C"/>
    <w:rsid w:val="008F353D"/>
    <w:rsid w:val="008F3D0D"/>
    <w:rsid w:val="008F4107"/>
    <w:rsid w:val="008F5AD9"/>
    <w:rsid w:val="008F66A1"/>
    <w:rsid w:val="008F71BF"/>
    <w:rsid w:val="008F7C4F"/>
    <w:rsid w:val="008F7EF9"/>
    <w:rsid w:val="008F7F7A"/>
    <w:rsid w:val="008F7F8F"/>
    <w:rsid w:val="00900575"/>
    <w:rsid w:val="00901819"/>
    <w:rsid w:val="00901F76"/>
    <w:rsid w:val="00902F75"/>
    <w:rsid w:val="0090348C"/>
    <w:rsid w:val="00903CDB"/>
    <w:rsid w:val="00904273"/>
    <w:rsid w:val="009046B5"/>
    <w:rsid w:val="00904B2B"/>
    <w:rsid w:val="00904D06"/>
    <w:rsid w:val="0090545C"/>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4EA5"/>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34C6"/>
    <w:rsid w:val="0098524C"/>
    <w:rsid w:val="009863C3"/>
    <w:rsid w:val="0098690A"/>
    <w:rsid w:val="009871DB"/>
    <w:rsid w:val="009909B0"/>
    <w:rsid w:val="00990D5C"/>
    <w:rsid w:val="0099323B"/>
    <w:rsid w:val="00997679"/>
    <w:rsid w:val="009977D1"/>
    <w:rsid w:val="00997F21"/>
    <w:rsid w:val="009A023F"/>
    <w:rsid w:val="009A158A"/>
    <w:rsid w:val="009A190A"/>
    <w:rsid w:val="009A203D"/>
    <w:rsid w:val="009A214D"/>
    <w:rsid w:val="009A263D"/>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57"/>
    <w:rsid w:val="009E73C6"/>
    <w:rsid w:val="009E7BB6"/>
    <w:rsid w:val="009F004A"/>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87A"/>
    <w:rsid w:val="00A16A89"/>
    <w:rsid w:val="00A16ED8"/>
    <w:rsid w:val="00A173F2"/>
    <w:rsid w:val="00A17988"/>
    <w:rsid w:val="00A20473"/>
    <w:rsid w:val="00A20D87"/>
    <w:rsid w:val="00A2150C"/>
    <w:rsid w:val="00A21A2B"/>
    <w:rsid w:val="00A234CF"/>
    <w:rsid w:val="00A2372F"/>
    <w:rsid w:val="00A2448B"/>
    <w:rsid w:val="00A25821"/>
    <w:rsid w:val="00A25E87"/>
    <w:rsid w:val="00A26006"/>
    <w:rsid w:val="00A30B78"/>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AE9"/>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3B"/>
    <w:rsid w:val="00AF22DC"/>
    <w:rsid w:val="00AF3588"/>
    <w:rsid w:val="00AF3624"/>
    <w:rsid w:val="00AF3B26"/>
    <w:rsid w:val="00AF62A6"/>
    <w:rsid w:val="00AF634C"/>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5EFE"/>
    <w:rsid w:val="00B9610E"/>
    <w:rsid w:val="00B96554"/>
    <w:rsid w:val="00B96918"/>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1A23"/>
    <w:rsid w:val="00BE255F"/>
    <w:rsid w:val="00BE3101"/>
    <w:rsid w:val="00BE464F"/>
    <w:rsid w:val="00BE522A"/>
    <w:rsid w:val="00BE5F1A"/>
    <w:rsid w:val="00BE6171"/>
    <w:rsid w:val="00BE6611"/>
    <w:rsid w:val="00BE678A"/>
    <w:rsid w:val="00BE71DD"/>
    <w:rsid w:val="00BF1145"/>
    <w:rsid w:val="00BF1A27"/>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31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3E1A"/>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1EEC"/>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09"/>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DF7EC2"/>
    <w:rsid w:val="00E006FB"/>
    <w:rsid w:val="00E008DA"/>
    <w:rsid w:val="00E018AB"/>
    <w:rsid w:val="00E025AA"/>
    <w:rsid w:val="00E0389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30B01"/>
    <w:rsid w:val="00E31F54"/>
    <w:rsid w:val="00E33EB1"/>
    <w:rsid w:val="00E34C69"/>
    <w:rsid w:val="00E34CCD"/>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0E9B"/>
    <w:rsid w:val="00E71127"/>
    <w:rsid w:val="00E7115F"/>
    <w:rsid w:val="00E71531"/>
    <w:rsid w:val="00E7185D"/>
    <w:rsid w:val="00E71F7C"/>
    <w:rsid w:val="00E723AB"/>
    <w:rsid w:val="00E7251E"/>
    <w:rsid w:val="00E72D62"/>
    <w:rsid w:val="00E73A15"/>
    <w:rsid w:val="00E748F7"/>
    <w:rsid w:val="00E7567E"/>
    <w:rsid w:val="00E75C78"/>
    <w:rsid w:val="00E76164"/>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1D8"/>
    <w:rsid w:val="00EA7D2E"/>
    <w:rsid w:val="00EA7F41"/>
    <w:rsid w:val="00EB05A6"/>
    <w:rsid w:val="00EB1367"/>
    <w:rsid w:val="00EB20D9"/>
    <w:rsid w:val="00EB2191"/>
    <w:rsid w:val="00EB2A83"/>
    <w:rsid w:val="00EB2AE2"/>
    <w:rsid w:val="00EB63D0"/>
    <w:rsid w:val="00EB69F7"/>
    <w:rsid w:val="00EB6D4D"/>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907"/>
    <w:rsid w:val="00F34E7F"/>
    <w:rsid w:val="00F34F87"/>
    <w:rsid w:val="00F35849"/>
    <w:rsid w:val="00F37AEB"/>
    <w:rsid w:val="00F37C29"/>
    <w:rsid w:val="00F4003E"/>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07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5958388">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1202373">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2983322">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75043935">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4458773">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54965241">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5849-C437-49F5-891C-D1F8C077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9</Pages>
  <Words>14951</Words>
  <Characters>8523</Characters>
  <Application>Microsoft Office Word</Application>
  <DocSecurity>0</DocSecurity>
  <Lines>71</Lines>
  <Paragraphs>46</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52</cp:revision>
  <cp:lastPrinted>2024-11-21T08:00:00Z</cp:lastPrinted>
  <dcterms:created xsi:type="dcterms:W3CDTF">2025-02-03T07:47:00Z</dcterms:created>
  <dcterms:modified xsi:type="dcterms:W3CDTF">2025-02-07T12:51:00Z</dcterms:modified>
</cp:coreProperties>
</file>