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right"/>
        <w:rPr>
          <w:rFonts w:ascii="Times New Roman" w:hAnsi="Times New Roman"/>
          <w:b w:val="1"/>
          <w:sz w:val="16"/>
          <w:szCs w:val="16"/>
          <w:lang w:val="uk-UA"/>
        </w:rPr>
      </w:pPr>
      <w:r>
        <w:rPr>
          <w:rFonts w:ascii="Times New Roman" w:hAnsi="Times New Roman"/>
          <w:b w:val="1"/>
          <w:sz w:val="16"/>
          <w:szCs w:val="16"/>
          <w:lang w:val="uk-UA"/>
        </w:rPr>
        <w:t>Додаток № 2</w:t>
      </w:r>
    </w:p>
    <w:p>
      <w:pPr>
        <w:jc w:val="center"/>
        <w:rPr>
          <w:rFonts w:ascii="Times New Roman" w:hAnsi="Times New Roman"/>
          <w:b w:val="1"/>
          <w:sz w:val="26"/>
          <w:szCs w:val="26"/>
          <w:lang w:val="uk-UA"/>
        </w:rPr>
      </w:pPr>
      <w:r>
        <w:rPr>
          <w:rFonts w:ascii="Times New Roman" w:hAnsi="Times New Roman"/>
          <w:b w:val="1"/>
          <w:sz w:val="26"/>
          <w:szCs w:val="26"/>
          <w:lang w:val="uk-UA"/>
        </w:rPr>
        <w:t xml:space="preserve">Узагальнена інформація щодо ліцензійних звітів, </w:t>
      </w:r>
    </w:p>
    <w:p>
      <w:pPr>
        <w:jc w:val="center"/>
        <w:rPr>
          <w:rFonts w:ascii="Times New Roman" w:hAnsi="Times New Roman"/>
          <w:b w:val="1"/>
          <w:sz w:val="26"/>
          <w:szCs w:val="26"/>
          <w:lang w:val="uk-UA"/>
        </w:rPr>
      </w:pPr>
      <w:r>
        <w:rPr>
          <w:rFonts w:ascii="Times New Roman" w:hAnsi="Times New Roman"/>
          <w:b w:val="1"/>
          <w:sz w:val="26"/>
          <w:szCs w:val="26"/>
          <w:lang w:val="uk-UA"/>
        </w:rPr>
        <w:t>що надійшли від органів ліцензування (</w:t>
      </w:r>
      <w:r>
        <w:rPr>
          <w:rFonts w:ascii="Times New Roman" w:hAnsi="Times New Roman"/>
          <w:b w:val="1"/>
          <w:i w:val="1"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>
        <w:rPr>
          <w:rFonts w:ascii="Times New Roman" w:hAnsi="Times New Roman"/>
          <w:b w:val="1"/>
          <w:sz w:val="26"/>
          <w:szCs w:val="26"/>
          <w:lang w:val="uk-UA"/>
        </w:rPr>
        <w:t xml:space="preserve">) за 2021 рік за видом господарської діяльності </w:t>
      </w:r>
      <w:r>
        <w:rPr>
          <w:rFonts w:ascii="Times New Roman" w:hAnsi="Times New Roman"/>
          <w:b w:val="1"/>
          <w:sz w:val="26"/>
          <w:szCs w:val="26"/>
          <w:u w:val="single"/>
          <w:lang w:val="uk-UA"/>
        </w:rPr>
        <w:t>«Освітня діяльність».</w:t>
      </w:r>
      <w:r>
        <w:rPr>
          <w:rFonts w:ascii="Times New Roman" w:hAnsi="Times New Roman"/>
          <w:b w:val="1"/>
          <w:sz w:val="26"/>
          <w:szCs w:val="26"/>
          <w:lang w:val="uk-UA"/>
        </w:rPr>
        <w:t xml:space="preserve"> </w:t>
      </w:r>
    </w:p>
    <w:p>
      <w:pPr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</w:p>
    <w:tbl>
      <w:tblPr>
        <w:tblStyle w:val="T2"/>
        <w:tblW w:w="15877" w:type="dxa"/>
        <w:jc w:val="center"/>
        <w:tblLayout w:type="fixed"/>
        <w:tblLook w:val="04A0"/>
      </w:tblPr>
      <w:tblGrid/>
      <w:tr>
        <w:trPr>
          <w:trHeight w:hRule="atLeast" w:val="660"/>
          <w:jc w:val="center"/>
        </w:trPr>
        <w:tc>
          <w:tcPr>
            <w:tcW w:w="1844" w:type="dxa"/>
            <w:tcBorders>
              <w:bottom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  <w:t>ОДА:</w:t>
            </w:r>
          </w:p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Вінницька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Волинська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Дніпропетровська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Донецька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Житомирська</w:t>
            </w:r>
          </w:p>
        </w:tc>
        <w:tc>
          <w:tcPr>
            <w:tcW w:w="50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Закарпатськ</w:t>
            </w:r>
            <w:r>
              <w:rPr>
                <w:rFonts w:ascii="Times New Roman" w:hAnsi="Times New Roman"/>
                <w:b w:val="1"/>
                <w:bCs w:val="0"/>
                <w:smallCaps w:val="0"/>
                <w:color w:val="000000"/>
                <w:sz w:val="16"/>
                <w:szCs w:val="22"/>
                <w:cs w:val="0"/>
                <w:spacing w:val="0"/>
                <w:w w:val="100"/>
                <w:position w:val="0"/>
                <w:snapToGrid w:val="1"/>
              </w:rPr>
              <w:t>а</w:t>
            </w: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Запорізька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Івано-Франківська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Київська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Кіровоградська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Луганська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Львівська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Миколаївська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Одеська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Полтавська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Рівненська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Сумська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Тернопільська</w:t>
            </w: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Харківська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Херсонська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  <w:t xml:space="preserve">, АРК та </w:t>
              <w:br w:type="textWrapping"/>
              <w:t>м. Севастополь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Чернігівська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</w:rPr>
              <w:t>Київська міська</w:t>
            </w:r>
            <w:r>
              <w:rPr>
                <w:rFonts w:ascii="Times New Roman" w:hAnsi="Times New Roman"/>
                <w:b w:val="1"/>
                <w:bCs w:val="1"/>
                <w:color w:val="000000"/>
                <w:sz w:val="16"/>
                <w:szCs w:val="16"/>
                <w:lang w:val="uk-UA"/>
              </w:rPr>
              <w:t xml:space="preserve"> державна адміністрація</w:t>
            </w:r>
          </w:p>
        </w:tc>
        <w:tc>
          <w:tcPr>
            <w:tcW w:w="622" w:type="dxa"/>
            <w:vMerge w:val="restart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Calibri" w:hAnsi="Calibri"/>
                <w:b w:val="1"/>
                <w:bCs w:val="1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b w:val="1"/>
                <w:bCs w:val="1"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r>
              <w:rPr>
                <w:rFonts w:ascii="Calibri" w:hAnsi="Calibri"/>
                <w:b w:val="1"/>
                <w:bCs w:val="1"/>
                <w:color w:val="000000"/>
                <w:sz w:val="16"/>
                <w:szCs w:val="16"/>
                <w:u w:val="single"/>
              </w:rPr>
              <w:t>сього</w:t>
            </w:r>
          </w:p>
        </w:tc>
      </w:tr>
      <w:tr>
        <w:trPr>
          <w:trHeight w:hRule="atLeast" w:val="781"/>
          <w:jc w:val="center"/>
        </w:trPr>
        <w:tc>
          <w:tcPr>
            <w:tcW w:w="1844" w:type="dxa"/>
            <w:tcBorders>
              <w:top w:val="single" w:sz="4" w:space="0" w:shadow="0" w:frame="0"/>
            </w:tcBorders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486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486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648" w:type="dxa"/>
            <w:vMerge w:val="continue"/>
            <w:shd w:val="clear" w:color="auto" w:fill="auto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472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  <w:tc>
          <w:tcPr>
            <w:tcW w:w="622" w:type="dxa"/>
            <w:vMerge w:val="continue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  <w:szCs w:val="28"/>
                <w:lang w:val="uk-UA"/>
              </w:rPr>
            </w:pP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  <w:t>197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  <w:t>402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155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289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52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413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678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218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  <w:t>42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  <w:t>28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115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15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169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4"/>
                <w:szCs w:val="14"/>
                <w:lang w:val="uk-UA"/>
              </w:rPr>
              <w:t>400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34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 w:val="1"/>
                <w:sz w:val="14"/>
                <w:szCs w:val="14"/>
                <w:lang w:val="uk-UA"/>
              </w:rPr>
              <w:t>897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3291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i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155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289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51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413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663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31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112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15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169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34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875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3221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i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 w:val="1"/>
                <w:bCs w:val="1"/>
                <w:sz w:val="14"/>
                <w:szCs w:val="14"/>
                <w:lang w:val="uk-UA"/>
              </w:rPr>
              <w:t>22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70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171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24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403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316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24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1727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79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4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171</w:t>
            </w:r>
          </w:p>
        </w:tc>
      </w:tr>
      <w:tr>
        <w:trPr>
          <w:trHeight w:hRule="atLeast" w:val="442"/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288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288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19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13</w:t>
            </w:r>
          </w:p>
        </w:tc>
      </w:tr>
      <w:tr>
        <w:trPr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47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Cs w:val="1"/>
                <w:sz w:val="14"/>
                <w:szCs w:val="14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 w:val="1"/>
                <w:sz w:val="16"/>
                <w:szCs w:val="16"/>
                <w:lang w:val="uk-UA"/>
              </w:rPr>
              <w:t>0</w:t>
            </w:r>
          </w:p>
        </w:tc>
      </w:tr>
      <w:tr>
        <w:trPr>
          <w:cantSplit/>
          <w:trHeight w:hRule="atLeast" w:val="951"/>
          <w:jc w:val="center"/>
        </w:trPr>
        <w:tc>
          <w:tcPr>
            <w:tcW w:w="1844" w:type="dxa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26.01.22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20.01.22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26.01.22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06.01.22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11.01.22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17.01.22</w:t>
            </w:r>
          </w:p>
        </w:tc>
        <w:tc>
          <w:tcPr>
            <w:tcW w:w="472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26.07.22</w:t>
            </w:r>
          </w:p>
        </w:tc>
        <w:tc>
          <w:tcPr>
            <w:tcW w:w="504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715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 w:val="1"/>
                <w:sz w:val="18"/>
                <w:szCs w:val="18"/>
                <w:lang w:val="uk-UA"/>
              </w:rPr>
              <w:t>25.01.22</w:t>
            </w:r>
          </w:p>
        </w:tc>
        <w:tc>
          <w:tcPr>
            <w:tcW w:w="622" w:type="dxa"/>
            <w:textDirection w:val="btLr"/>
            <w:vAlign w:val="center"/>
          </w:tcPr>
          <w:p>
            <w:pPr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szCs w:val="20"/>
                <w:lang w:val="uk-UA"/>
              </w:rPr>
            </w:pPr>
          </w:p>
        </w:tc>
      </w:tr>
    </w:tbl>
    <w:p>
      <w:pPr>
        <w:jc w:val="left"/>
        <w:rPr>
          <w:rFonts w:ascii="Times New Roman" w:hAnsi="Times New Roman"/>
          <w:bCs w:val="1"/>
          <w:sz w:val="20"/>
          <w:szCs w:val="20"/>
          <w:lang w:val="uk-UA"/>
        </w:rPr>
      </w:pPr>
    </w:p>
    <w:sectPr>
      <w:type w:val="nextPage"/>
      <w:pgSz w:w="16838" w:h="11906" w:code="0" w:orient="landscape"/>
      <w:pgMar w:left="1134" w:right="1134" w:top="567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4974B72"/>
    <w:multiLevelType w:val="hybridMultilevel"/>
    <w:lvl w:ilvl="0" w:tplc="B2C47F9E">
      <w:start w:val="5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nsid w:val="53FC429D"/>
    <w:multiLevelType w:val="hybridMultilevel"/>
    <w:lvl w:ilvl="0" w:tplc="F08A93AA">
      <w:start w:val="5"/>
      <w:numFmt w:val="bullet"/>
      <w:suff w:val="tab"/>
      <w:lvlText w:val="-"/>
      <w:lvlJc w:val="left"/>
      <w:pPr>
        <w:ind w:hanging="360" w:left="1069"/>
      </w:pPr>
      <w:rPr>
        <w:rFonts w:ascii="Times New Roman" w:hAnsi="Times New Roman"/>
        <w:b w:val="0"/>
      </w:rPr>
    </w:lvl>
    <w:lvl w:ilvl="1" w:tplc="0419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1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709" w:left="0" w:right="0"/>
        <w:contextualSpacing w:val="0"/>
        <w:bidi w:val="0"/>
        <w:jc w:val="both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3"/>
    <w:qFormat/>
    <w:pPr>
      <w:keepNext w:val="1"/>
      <w:keepLines w:val="1"/>
      <w:spacing w:before="480" w:beforeAutospacing="0" w:afterAutospacing="0"/>
      <w:outlineLvl w:val="0"/>
    </w:pPr>
    <w:rPr>
      <w:b w:val="1"/>
      <w:bCs w:val="1"/>
      <w:color w:val="376092" w:themeColor="accent1" w:themeShade="BF"/>
      <w:sz w:val="28"/>
      <w:szCs w:val="28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paragraph" w:styleId="P3">
    <w:name w:val="Balloon Text"/>
    <w:basedOn w:val="P0"/>
    <w:link w:val="C4"/>
    <w:semiHidden/>
    <w:pPr/>
    <w:rPr>
      <w:rFonts w:ascii="Segoe UI" w:hAnsi="Segoe UI"/>
      <w:sz w:val="18"/>
      <w:szCs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b w:val="1"/>
      <w:bCs w:val="1"/>
      <w:color w:val="376092" w:themeColor="accent1" w:themeShade="BF"/>
      <w:sz w:val="28"/>
      <w:szCs w:val="28"/>
    </w:rPr>
  </w:style>
  <w:style w:type="character" w:styleId="C4">
    <w:name w:val="Текст у виносці Знак"/>
    <w:basedOn w:val="C0"/>
    <w:link w:val="P3"/>
    <w:semiHidden/>
    <w:rPr>
      <w:rFonts w:ascii="Segoe UI" w:hAnsi="Segoe UI"/>
      <w:sz w:val="18"/>
      <w:szCs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84f5-f49d-4a14-b990-ebfd6f26fcdf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Ирина</dc:creator>
  <dcterms:created xsi:type="dcterms:W3CDTF">2018-03-20T08:43:00Z</dcterms:created>
  <cp:lastModifiedBy>ASKOD</cp:lastModifiedBy>
  <cp:lastPrinted>2022-05-11T07:56:00Z</cp:lastPrinted>
  <dcterms:modified xsi:type="dcterms:W3CDTF">2022-10-07T08:46:02Z</dcterms:modified>
  <cp:revision>175</cp:revision>
</cp:coreProperties>
</file>