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2DD58E35"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3C4FDE">
        <w:rPr>
          <w:szCs w:val="28"/>
        </w:rPr>
        <w:t>05</w:t>
      </w:r>
      <w:r w:rsidRPr="00B03DB3">
        <w:rPr>
          <w:szCs w:val="28"/>
        </w:rPr>
        <w:t>.</w:t>
      </w:r>
      <w:r w:rsidR="003C4FDE">
        <w:rPr>
          <w:szCs w:val="28"/>
        </w:rPr>
        <w:t>10</w:t>
      </w:r>
      <w:r w:rsidRPr="00B03DB3">
        <w:rPr>
          <w:szCs w:val="28"/>
        </w:rPr>
        <w:t xml:space="preserve">.2021 № </w:t>
      </w:r>
      <w:r w:rsidR="00C2033E">
        <w:rPr>
          <w:szCs w:val="28"/>
        </w:rPr>
        <w:t>6</w:t>
      </w:r>
      <w:r w:rsidR="003C4FDE">
        <w:rPr>
          <w:szCs w:val="28"/>
        </w:rPr>
        <w:t>98</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7BAC190B"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0117BC">
        <w:rPr>
          <w:sz w:val="28"/>
          <w:szCs w:val="28"/>
        </w:rPr>
        <w:t>Східного</w:t>
      </w:r>
      <w:r w:rsidR="00D429E3" w:rsidRPr="00D429E3">
        <w:rPr>
          <w:sz w:val="28"/>
          <w:szCs w:val="28"/>
        </w:rPr>
        <w:t xml:space="preserve"> відділу Державної регуляторної служби України</w:t>
      </w:r>
      <w:r w:rsidR="003C4FDE">
        <w:rPr>
          <w:sz w:val="28"/>
          <w:szCs w:val="28"/>
        </w:rPr>
        <w:t xml:space="preserve"> (м. </w:t>
      </w:r>
      <w:r w:rsidR="00A954C4">
        <w:rPr>
          <w:sz w:val="28"/>
          <w:szCs w:val="28"/>
        </w:rPr>
        <w:t>С</w:t>
      </w:r>
      <w:r w:rsidR="00903770">
        <w:rPr>
          <w:sz w:val="28"/>
          <w:szCs w:val="28"/>
        </w:rPr>
        <w:t>єверодонецьк</w:t>
      </w:r>
      <w:r w:rsidR="003C4FDE">
        <w:rPr>
          <w:sz w:val="28"/>
          <w:szCs w:val="28"/>
        </w:rPr>
        <w:t>)</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475B0EA"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3C4FDE">
              <w:rPr>
                <w:b/>
                <w:sz w:val="28"/>
                <w:szCs w:val="28"/>
              </w:rPr>
              <w:t>27 жовтня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8B5E0" w:rsidR="008130B1" w:rsidRPr="003B3DD5" w:rsidRDefault="003C4FDE"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0117BC"/>
    <w:rsid w:val="001D7184"/>
    <w:rsid w:val="00275808"/>
    <w:rsid w:val="002C7467"/>
    <w:rsid w:val="002D3AE5"/>
    <w:rsid w:val="003B3DD5"/>
    <w:rsid w:val="003C30A1"/>
    <w:rsid w:val="003C4FDE"/>
    <w:rsid w:val="004201AE"/>
    <w:rsid w:val="005634E8"/>
    <w:rsid w:val="005D5A83"/>
    <w:rsid w:val="00626223"/>
    <w:rsid w:val="00636020"/>
    <w:rsid w:val="0066137F"/>
    <w:rsid w:val="00752D1A"/>
    <w:rsid w:val="00794C07"/>
    <w:rsid w:val="007C1565"/>
    <w:rsid w:val="007F13A9"/>
    <w:rsid w:val="008130B1"/>
    <w:rsid w:val="00817B14"/>
    <w:rsid w:val="008372F4"/>
    <w:rsid w:val="00871666"/>
    <w:rsid w:val="008A1E74"/>
    <w:rsid w:val="00903770"/>
    <w:rsid w:val="00977A27"/>
    <w:rsid w:val="009A23FC"/>
    <w:rsid w:val="00A00A25"/>
    <w:rsid w:val="00A954C4"/>
    <w:rsid w:val="00AE5401"/>
    <w:rsid w:val="00B70BE2"/>
    <w:rsid w:val="00BD65B5"/>
    <w:rsid w:val="00C2033E"/>
    <w:rsid w:val="00C428A5"/>
    <w:rsid w:val="00C561D6"/>
    <w:rsid w:val="00D039C8"/>
    <w:rsid w:val="00D21C9F"/>
    <w:rsid w:val="00D25BA7"/>
    <w:rsid w:val="00D429E3"/>
    <w:rsid w:val="00EC3CE7"/>
    <w:rsid w:val="00ED3864"/>
    <w:rsid w:val="00EF450A"/>
    <w:rsid w:val="00F21FB1"/>
    <w:rsid w:val="00F30CA0"/>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8020</Words>
  <Characters>4572</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3</cp:revision>
  <dcterms:created xsi:type="dcterms:W3CDTF">2021-10-05T16:05:00Z</dcterms:created>
  <dcterms:modified xsi:type="dcterms:W3CDTF">2021-10-05T16:05:00Z</dcterms:modified>
</cp:coreProperties>
</file>