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658A5020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C869A8">
        <w:rPr>
          <w:szCs w:val="28"/>
        </w:rPr>
        <w:t>09</w:t>
      </w:r>
      <w:r w:rsidR="008111F3" w:rsidRPr="00B03DB3">
        <w:rPr>
          <w:szCs w:val="28"/>
        </w:rPr>
        <w:t>.0</w:t>
      </w:r>
      <w:r w:rsidR="00E35077">
        <w:rPr>
          <w:szCs w:val="28"/>
        </w:rPr>
        <w:t>7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C869A8">
        <w:rPr>
          <w:szCs w:val="28"/>
        </w:rPr>
        <w:t>362</w:t>
      </w:r>
      <w:r w:rsidR="00E35077">
        <w:rPr>
          <w:szCs w:val="28"/>
        </w:rPr>
        <w:t xml:space="preserve"> </w:t>
      </w:r>
      <w:r w:rsidR="006F51CC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2186D9AB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224829">
        <w:rPr>
          <w:sz w:val="28"/>
          <w:szCs w:val="28"/>
        </w:rPr>
        <w:t>головного спеціаліста</w:t>
      </w:r>
      <w:r w:rsidR="0054478B" w:rsidRPr="0054478B">
        <w:rPr>
          <w:sz w:val="28"/>
          <w:szCs w:val="28"/>
        </w:rPr>
        <w:t xml:space="preserve"> </w:t>
      </w:r>
      <w:r w:rsidR="00C236C7" w:rsidRPr="00C236C7">
        <w:rPr>
          <w:sz w:val="28"/>
          <w:szCs w:val="28"/>
        </w:rPr>
        <w:t>Відділу інформаційних технологій, захисту інформації та з питань цифрового розвитку, цифрової трансформації і цифровізації</w:t>
      </w:r>
      <w:r w:rsidR="00C236C7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3C00DCB5" w14:textId="77777777" w:rsidR="00B5726F" w:rsidRDefault="00B5726F" w:rsidP="00B5726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B5726F">
              <w:rPr>
                <w:sz w:val="28"/>
                <w:szCs w:val="28"/>
                <w:lang w:val="uk-UA"/>
              </w:rPr>
              <w:t>Вжиття заходів у разі виявлення спроб несанкціонованого доступу до ресурсів ІТС, порушення правил експлуатації засобів захисту інформації або у разі наявності інших дестабілізуючих факторів; організація та проведення заходів з модернізації, тестування, оперативного відновлення функціонування КСЗІ та ІТС після збоїв, відмов, аварій в ІТС або КСЗІ.</w:t>
            </w:r>
          </w:p>
          <w:p w14:paraId="081FCEE5" w14:textId="77777777" w:rsidR="00B5726F" w:rsidRDefault="00B5726F" w:rsidP="00B5726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B5726F">
              <w:rPr>
                <w:sz w:val="28"/>
                <w:szCs w:val="28"/>
                <w:lang w:val="uk-UA"/>
              </w:rPr>
              <w:t>Забезпечення контролю цілісності засобів захисту інформації та швидке реагування на їх вихід з ладу або порушення режимів функціонування; аналіз відомостей про засоби захисту інформації нового покоління, обґрунтування пропозицій щодо придбання таких засобів в інтересах ДРС.</w:t>
            </w:r>
          </w:p>
          <w:p w14:paraId="4750D114" w14:textId="77777777" w:rsidR="00B5726F" w:rsidRDefault="00B5726F" w:rsidP="00B5726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B5726F">
              <w:rPr>
                <w:sz w:val="28"/>
                <w:szCs w:val="28"/>
                <w:lang w:val="uk-UA"/>
              </w:rPr>
              <w:t>Забезпечення доступу до ресурсів ІТС ДРС (надання користувачам необхідних атрибутів доступу: логінів, паролів, привілеїв, ключів тощо); супроводження та актуалізація прав доступу користувачів, облікових записів користувачів, ідентифікаторів користувачів; призначення атрибутів доступу користувачам та об’єктам захисту; аудит подій щодо автентифікації і авторизації адміністраторів, доступу до об’єктів захисту, а також оброблення та аналіз зареєстрованої інформації про критичні з погляду безпеки події.</w:t>
            </w:r>
          </w:p>
          <w:p w14:paraId="0271B45A" w14:textId="77777777" w:rsidR="00B5726F" w:rsidRDefault="00B5726F" w:rsidP="00B5726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B5726F">
              <w:rPr>
                <w:sz w:val="28"/>
                <w:szCs w:val="28"/>
                <w:lang w:val="uk-UA"/>
              </w:rPr>
              <w:t>Спостереження за функціонуванням КСЗІ та компонентів ІТС.</w:t>
            </w:r>
          </w:p>
          <w:p w14:paraId="5F208A21" w14:textId="77777777" w:rsidR="00B5726F" w:rsidRDefault="00B5726F" w:rsidP="00B5726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B5726F">
              <w:rPr>
                <w:sz w:val="28"/>
                <w:szCs w:val="28"/>
                <w:lang w:val="uk-UA"/>
              </w:rPr>
              <w:t xml:space="preserve">Забезпечення супроводження і актуалізації архівних та резервних копій програмного забезпечення та його налаштувань, баз даних та іншої інформації ІТС, </w:t>
            </w:r>
            <w:r w:rsidRPr="00B5726F">
              <w:rPr>
                <w:sz w:val="28"/>
                <w:szCs w:val="28"/>
                <w:lang w:val="uk-UA"/>
              </w:rPr>
              <w:lastRenderedPageBreak/>
              <w:t>забезпечення їх зберігання і тестування; відновлення з резервних копій, у разі необхідності, загальносистемного та прикладного програмного забезпечення ІТС та їх технологічної інформації, даних, які обробляються  і зберігаються в ІТС.</w:t>
            </w:r>
          </w:p>
          <w:p w14:paraId="7E5FFEFC" w14:textId="77777777" w:rsidR="00B5726F" w:rsidRDefault="00B5726F" w:rsidP="00B5726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B5726F">
              <w:rPr>
                <w:sz w:val="28"/>
                <w:szCs w:val="28"/>
                <w:lang w:val="uk-UA"/>
              </w:rPr>
              <w:t>Негайне втручання в процес роботи ІТС у разі виявлення атаки на КСЗІ, проведення у таких випадках робіт з виявлення порушника; готувати акти щодо виявлених порушень безпеки експлуатації ІТС та рекомендації щодо їхнього усунення.</w:t>
            </w:r>
          </w:p>
          <w:p w14:paraId="43C60913" w14:textId="77777777" w:rsidR="00B5726F" w:rsidRDefault="00B5726F" w:rsidP="00B5726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B5726F">
              <w:rPr>
                <w:sz w:val="28"/>
                <w:szCs w:val="28"/>
                <w:lang w:val="uk-UA"/>
              </w:rPr>
              <w:t>Контроль відповідності налаштування програмних та програмно-апаратних засобів ІТС прийнятій політиці безпеки; встановлення, налагодження та супроводження програмного і апаратного забезпечення ІТС; проведення тестових перевірок програмного та апаратного забезпечення ІТС з метою своєчасного виявлення та ліквідації несправностей.</w:t>
            </w:r>
          </w:p>
          <w:p w14:paraId="1F56FDBD" w14:textId="77777777" w:rsidR="00B5726F" w:rsidRDefault="00B5726F" w:rsidP="00B5726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B5726F">
              <w:rPr>
                <w:sz w:val="28"/>
                <w:szCs w:val="28"/>
                <w:lang w:val="uk-UA"/>
              </w:rPr>
              <w:t>Забезпечення антивірусного захисту ІТС; надання допомоги при визначенні джерела зловмисного програмного забезпечення, зони його розповсюдження та наступного видалення; виключати можливість впливу на програмне та апаратне забезпечення ІТС або на їх роботу інших осіб або програмно-технічних засобів.</w:t>
            </w:r>
          </w:p>
          <w:p w14:paraId="6750FB59" w14:textId="77777777" w:rsidR="00B5726F" w:rsidRDefault="00B5726F" w:rsidP="00B5726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w:r w:rsidRPr="00B5726F">
              <w:rPr>
                <w:sz w:val="28"/>
                <w:szCs w:val="28"/>
                <w:lang w:val="uk-UA"/>
              </w:rPr>
              <w:t>Відповідає за формування, ведення та збереження документів, які знаходяться в роботі, на безпосередньому виконанні, згідно з вимогами діловодства;</w:t>
            </w:r>
            <w:r w:rsidRPr="00235642">
              <w:rPr>
                <w:sz w:val="28"/>
                <w:szCs w:val="28"/>
                <w:lang w:val="uk-UA"/>
              </w:rPr>
              <w:t xml:space="preserve"> </w:t>
            </w:r>
            <w:r w:rsidRPr="00B5726F">
              <w:rPr>
                <w:sz w:val="28"/>
                <w:szCs w:val="28"/>
                <w:lang w:val="uk-UA"/>
              </w:rPr>
              <w:t>відповідає за своєчасне та якісне виконання та зняття з контролю документів, які знаходяться на виконанні; візує їх як виконавець.</w:t>
            </w:r>
          </w:p>
          <w:p w14:paraId="2DEF7F99" w14:textId="6D055055" w:rsidR="00FD5F6D" w:rsidRPr="00B5726F" w:rsidRDefault="00B5726F" w:rsidP="008B43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w:r w:rsidRPr="00B5726F">
              <w:rPr>
                <w:sz w:val="28"/>
                <w:szCs w:val="28"/>
                <w:lang w:val="uk-UA"/>
              </w:rPr>
              <w:t>У разі необхідності вжиття в межах компетенції інших заходів, передбачених законодавством, необхідних для належного виконання завдань Відділу та забезпечення законності в діяльності ДРС.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FD58FF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FD58FF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6D66BDB" w14:textId="77777777" w:rsidR="00F016C5" w:rsidRPr="00FD58FF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D58F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D5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2AB7B651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до </w:t>
            </w:r>
            <w:r w:rsidR="0054478B" w:rsidRPr="00FD58FF">
              <w:rPr>
                <w:b/>
                <w:sz w:val="28"/>
                <w:szCs w:val="28"/>
              </w:rPr>
              <w:t>17</w:t>
            </w:r>
            <w:r w:rsidRPr="00FD58FF">
              <w:rPr>
                <w:b/>
                <w:sz w:val="28"/>
                <w:szCs w:val="28"/>
              </w:rPr>
              <w:t xml:space="preserve"> год. </w:t>
            </w:r>
            <w:r w:rsidR="0054478B" w:rsidRPr="00FD58FF">
              <w:rPr>
                <w:b/>
                <w:sz w:val="28"/>
                <w:szCs w:val="28"/>
              </w:rPr>
              <w:t>00</w:t>
            </w:r>
            <w:r w:rsidRPr="00FD58FF">
              <w:rPr>
                <w:b/>
                <w:sz w:val="28"/>
                <w:szCs w:val="28"/>
              </w:rPr>
              <w:t xml:space="preserve"> хв.</w:t>
            </w:r>
            <w:r w:rsidRPr="00FD58FF">
              <w:rPr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20</w:t>
            </w:r>
            <w:r w:rsidR="00FD58FF" w:rsidRPr="00FD58FF">
              <w:rPr>
                <w:b/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липня</w:t>
            </w:r>
            <w:r w:rsidRPr="00FD58F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7586D845" w:rsidR="00FD58FF" w:rsidRPr="00CA136B" w:rsidRDefault="00E35077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липня</w:t>
            </w:r>
            <w:r w:rsidR="00FD58FF">
              <w:rPr>
                <w:sz w:val="28"/>
                <w:szCs w:val="28"/>
              </w:rPr>
              <w:t xml:space="preserve"> 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77777777" w:rsidR="00FD58F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77777777" w:rsidR="00FD58FF" w:rsidRPr="00FD58F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E1980" w:rsidRPr="00BE1980" w14:paraId="1108B418" w14:textId="77777777" w:rsidTr="00C62B4B">
        <w:tc>
          <w:tcPr>
            <w:tcW w:w="534" w:type="dxa"/>
          </w:tcPr>
          <w:p w14:paraId="58376205" w14:textId="73BF22CF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0C36CE01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Закон України «Про захист персональних даних»;</w:t>
            </w:r>
          </w:p>
          <w:p w14:paraId="2D89AB92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Закон України «Про Національну програму інформатизації»;</w:t>
            </w:r>
          </w:p>
          <w:p w14:paraId="1587C427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lastRenderedPageBreak/>
              <w:t xml:space="preserve">Закон України «Про інформацію»; </w:t>
            </w:r>
          </w:p>
          <w:p w14:paraId="147CC3EB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Закон України «Про </w:t>
            </w:r>
            <w:r w:rsidRPr="00D3404A">
              <w:rPr>
                <w:bCs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14:paraId="1174C73F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 xml:space="preserve">- Положення про Державну регуляторну службу України, затверджене постановою Кабінету Міністрів України від 24.12.2014 № 724; </w:t>
            </w:r>
          </w:p>
          <w:p w14:paraId="480C6A31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- 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14:paraId="1F52BD62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- Порядок легалізації комп’ютерних програм в органах виконавчої влади, затверджений постановою Кабінету Міністрів України від 04.03.2004 № 253;</w:t>
            </w:r>
          </w:p>
          <w:p w14:paraId="44381B70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Типове положення про службу захисту інформації в автоматизованій системі               НД ТЗІ 1.4-001-2000, затверджене наказом Департаменту спеціальних телекомунікаційних систем та захисту інформації Служби безпеки України                  від 04.12.2000 № 53;</w:t>
            </w:r>
          </w:p>
          <w:p w14:paraId="3781726D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НД ТЗІ 3.7-003-2005 «Порядок проведення робіт із створення комплексної системи захисту інформації в інформаційно-телекомунікаційній системі»;</w:t>
            </w:r>
          </w:p>
          <w:p w14:paraId="7C0F9829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Правила забезпечення захисту інформації в інформаційних, телекомунікаційних та інформаційно-телекомунікаційних системах, затверджені постановою Кабінету Міністрів України від 29.03.2006 № 373;</w:t>
            </w:r>
          </w:p>
          <w:p w14:paraId="37C80F88" w14:textId="3B4609C2" w:rsidR="00D70F08" w:rsidRPr="00BE1980" w:rsidRDefault="00B5726F" w:rsidP="00B5726F">
            <w:pPr>
              <w:pStyle w:val="rvps14"/>
              <w:numPr>
                <w:ilvl w:val="0"/>
                <w:numId w:val="25"/>
              </w:numPr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Постанова Кабінету Міністрів України від 30.01.2019 № 56 «Деякі питання цифрового розвитку»</w:t>
            </w:r>
          </w:p>
        </w:tc>
      </w:tr>
      <w:tr w:rsidR="00944D79" w:rsidRPr="00BE1980" w14:paraId="1FDDC15B" w14:textId="77777777" w:rsidTr="00C62B4B">
        <w:tc>
          <w:tcPr>
            <w:tcW w:w="534" w:type="dxa"/>
          </w:tcPr>
          <w:p w14:paraId="06C168FA" w14:textId="1829FF48" w:rsidR="00944D79" w:rsidRPr="00944D79" w:rsidRDefault="00944D79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44E4E569" w14:textId="52453816" w:rsidR="00944D79" w:rsidRPr="00DF0DF5" w:rsidRDefault="00944D79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 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5726F">
              <w:rPr>
                <w:sz w:val="28"/>
                <w:szCs w:val="28"/>
                <w:lang w:val="uk-UA"/>
              </w:rPr>
              <w:t>з</w:t>
            </w:r>
            <w:r w:rsidR="00B5726F" w:rsidRPr="00B5726F">
              <w:rPr>
                <w:sz w:val="28"/>
                <w:szCs w:val="28"/>
                <w:lang w:val="uk-UA"/>
              </w:rPr>
              <w:t>абезпечення захисту інформації в інформаційних, телекомунікаційних та інформаційно-телекомунікаційних системах  Державної регуляторної служби України</w:t>
            </w:r>
            <w:r w:rsidR="00B5726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0080" w:type="dxa"/>
          </w:tcPr>
          <w:p w14:paraId="38F753CB" w14:textId="122591C6" w:rsidR="00DF0DF5" w:rsidRDefault="00DF0DF5" w:rsidP="00DF0DF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7BFA3373" w14:textId="77777777" w:rsidR="00B5726F" w:rsidRPr="00D3404A" w:rsidRDefault="00B5726F" w:rsidP="00B5726F">
            <w:pPr>
              <w:numPr>
                <w:ilvl w:val="0"/>
                <w:numId w:val="26"/>
              </w:numPr>
              <w:spacing w:line="276" w:lineRule="auto"/>
              <w:rPr>
                <w:szCs w:val="28"/>
              </w:rPr>
            </w:pPr>
            <w:r w:rsidRPr="00D3404A">
              <w:rPr>
                <w:sz w:val="28"/>
                <w:szCs w:val="28"/>
              </w:rPr>
              <w:t>практики використання та налагодження програмного забезпечення;</w:t>
            </w:r>
          </w:p>
          <w:p w14:paraId="4894AB3A" w14:textId="77777777" w:rsidR="00B5726F" w:rsidRPr="00D3404A" w:rsidRDefault="00B5726F" w:rsidP="00B5726F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практики використання та налагодження роботи комп’ютерної техніки;</w:t>
            </w:r>
          </w:p>
          <w:p w14:paraId="0A79B201" w14:textId="77777777" w:rsidR="00B5726F" w:rsidRPr="00D3404A" w:rsidRDefault="00B5726F" w:rsidP="00B5726F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практики у сфері захисту інформації;</w:t>
            </w:r>
          </w:p>
          <w:p w14:paraId="79AE9359" w14:textId="77777777" w:rsidR="00B5726F" w:rsidRPr="00D3404A" w:rsidRDefault="00B5726F" w:rsidP="00B5726F">
            <w:pPr>
              <w:numPr>
                <w:ilvl w:val="0"/>
                <w:numId w:val="26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14:paraId="3957A602" w14:textId="77777777" w:rsidR="00B5726F" w:rsidRPr="00D3404A" w:rsidRDefault="00B5726F" w:rsidP="00B5726F">
            <w:pPr>
              <w:numPr>
                <w:ilvl w:val="0"/>
                <w:numId w:val="26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14:paraId="1C41B587" w14:textId="6C6504E1" w:rsidR="00944D79" w:rsidRPr="00BE1980" w:rsidRDefault="00B5726F" w:rsidP="00B5726F">
            <w:pPr>
              <w:pStyle w:val="rvps14"/>
              <w:numPr>
                <w:ilvl w:val="0"/>
                <w:numId w:val="26"/>
              </w:numPr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апаратної частини серверів та іншої комп’ютерної техніки.</w:t>
            </w:r>
          </w:p>
        </w:tc>
      </w:tr>
    </w:tbl>
    <w:p w14:paraId="1456CD71" w14:textId="697A1CA5" w:rsidR="00EB29ED" w:rsidRDefault="00EB29ED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0" w:name="n15"/>
      <w:bookmarkEnd w:id="0"/>
    </w:p>
    <w:p w14:paraId="0CA9DD28" w14:textId="77777777" w:rsidR="00B5726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167"/>
      <w:bookmarkStart w:id="2" w:name="171"/>
      <w:bookmarkStart w:id="3" w:name="173"/>
      <w:bookmarkStart w:id="4" w:name="175"/>
      <w:bookmarkStart w:id="5" w:name="179"/>
      <w:bookmarkEnd w:id="1"/>
      <w:bookmarkEnd w:id="2"/>
      <w:bookmarkEnd w:id="3"/>
      <w:bookmarkEnd w:id="4"/>
      <w:bookmarkEnd w:id="5"/>
    </w:p>
    <w:sectPr w:rsidR="00B5726F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2"/>
  </w:num>
  <w:num w:numId="5">
    <w:abstractNumId w:val="14"/>
  </w:num>
  <w:num w:numId="6">
    <w:abstractNumId w:val="12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5"/>
  </w:num>
  <w:num w:numId="13">
    <w:abstractNumId w:val="1"/>
  </w:num>
  <w:num w:numId="14">
    <w:abstractNumId w:val="0"/>
  </w:num>
  <w:num w:numId="15">
    <w:abstractNumId w:val="11"/>
  </w:num>
  <w:num w:numId="16">
    <w:abstractNumId w:val="17"/>
  </w:num>
  <w:num w:numId="17">
    <w:abstractNumId w:val="16"/>
  </w:num>
  <w:num w:numId="18">
    <w:abstractNumId w:val="3"/>
  </w:num>
  <w:num w:numId="19">
    <w:abstractNumId w:val="15"/>
  </w:num>
  <w:num w:numId="20">
    <w:abstractNumId w:val="6"/>
  </w:num>
  <w:num w:numId="21">
    <w:abstractNumId w:val="23"/>
  </w:num>
  <w:num w:numId="22">
    <w:abstractNumId w:val="18"/>
  </w:num>
  <w:num w:numId="23">
    <w:abstractNumId w:val="13"/>
  </w:num>
  <w:num w:numId="24">
    <w:abstractNumId w:val="19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633A4"/>
    <w:rsid w:val="0057718A"/>
    <w:rsid w:val="00577D4D"/>
    <w:rsid w:val="0058047A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B43F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885"/>
    <w:rsid w:val="00BF10FC"/>
    <w:rsid w:val="00C07DF7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81B26"/>
    <w:rsid w:val="00C85BAA"/>
    <w:rsid w:val="00C869A8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1345</Words>
  <Characters>9491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5</cp:revision>
  <cp:lastPrinted>2021-05-13T14:36:00Z</cp:lastPrinted>
  <dcterms:created xsi:type="dcterms:W3CDTF">2021-07-08T08:01:00Z</dcterms:created>
  <dcterms:modified xsi:type="dcterms:W3CDTF">2021-07-12T13:30:00Z</dcterms:modified>
</cp:coreProperties>
</file>