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57236877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E35077">
        <w:rPr>
          <w:szCs w:val="28"/>
        </w:rPr>
        <w:t xml:space="preserve"> </w:t>
      </w:r>
      <w:r w:rsidR="00FE4BEE">
        <w:rPr>
          <w:szCs w:val="28"/>
        </w:rPr>
        <w:t>09</w:t>
      </w:r>
      <w:r w:rsidR="008111F3" w:rsidRPr="00B03DB3">
        <w:rPr>
          <w:szCs w:val="28"/>
        </w:rPr>
        <w:t>.0</w:t>
      </w:r>
      <w:r w:rsidR="00E35077">
        <w:rPr>
          <w:szCs w:val="28"/>
        </w:rPr>
        <w:t>7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FE4BEE">
        <w:rPr>
          <w:szCs w:val="28"/>
        </w:rPr>
        <w:t>362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00D51599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</w:t>
      </w:r>
      <w:r w:rsidR="00225B62" w:rsidRPr="00225B62">
        <w:rPr>
          <w:sz w:val="28"/>
          <w:szCs w:val="28"/>
        </w:rPr>
        <w:t>відділу забезпечення діяльності Голови Управління забезпечення діяльності</w:t>
      </w:r>
      <w:r w:rsidR="00FD5F6D" w:rsidRPr="00FD5F6D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2050627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8B43FA">
              <w:rPr>
                <w:sz w:val="28"/>
                <w:szCs w:val="28"/>
                <w:lang w:val="uk-UA"/>
              </w:rPr>
              <w:t xml:space="preserve">Забезпечення Голови ДРС інформацією, необхідною для ефективного виконання покладених на нього завдань та повноважень. </w:t>
            </w:r>
          </w:p>
          <w:p w14:paraId="35C9CFF9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8B43FA">
              <w:rPr>
                <w:sz w:val="28"/>
                <w:szCs w:val="28"/>
                <w:lang w:val="uk-UA"/>
              </w:rPr>
              <w:t>Участь у підготовці матеріалів для участі Голови ДРС у засіданнях Кабінету Міністрів України з питань, що належать до компетенції ДРС.</w:t>
            </w:r>
          </w:p>
          <w:p w14:paraId="1A3C5A14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8B43FA">
              <w:rPr>
                <w:sz w:val="28"/>
                <w:szCs w:val="28"/>
                <w:lang w:val="uk-UA"/>
              </w:rPr>
              <w:t>Участь в організації періодичного публічного звітування Голови ДРС про роботу.</w:t>
            </w:r>
          </w:p>
          <w:p w14:paraId="185863D8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8B43FA">
              <w:rPr>
                <w:sz w:val="28"/>
                <w:szCs w:val="28"/>
                <w:lang w:val="uk-UA"/>
              </w:rPr>
              <w:t>Організація та супроводження проведення апаратних нарад, робочих зустрічей та інших заходів, на яких головує Голова ДРС, та підготовка протокольних доручень за їх результатами.</w:t>
            </w:r>
          </w:p>
          <w:p w14:paraId="11FB2040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8B43FA">
              <w:rPr>
                <w:sz w:val="28"/>
                <w:szCs w:val="28"/>
                <w:lang w:val="uk-UA"/>
              </w:rPr>
              <w:t>Організація виконання протокольних доручень та оперативних завдань Голови ДРС структурними підрозділами ДРС; здійснення контролю за їх виконанням.</w:t>
            </w:r>
          </w:p>
          <w:p w14:paraId="6A10F55D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8B43FA">
              <w:rPr>
                <w:sz w:val="28"/>
                <w:szCs w:val="28"/>
                <w:lang w:val="uk-UA"/>
              </w:rPr>
              <w:t>Здійснення організаційних заходів щодо підготовки ділових поїздок Голови ДРС.</w:t>
            </w:r>
          </w:p>
          <w:p w14:paraId="27A1E0E1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8B43FA">
              <w:rPr>
                <w:sz w:val="28"/>
                <w:szCs w:val="28"/>
                <w:lang w:val="uk-UA"/>
              </w:rPr>
              <w:t>Підготовка пропозицій щодо службового листування з іншими структурними підрозділами ДРС, а також – проектів листів Кабінету Міністрів України, Офісу Президента України, Верховній Раді України, іншим органам влади, установам та організаціям; відповідей на запити та звернення народних депутатів, звернення громадян, запити на інформацію з питань, що належать до компетенції відділу, в межах визначених повноважень.</w:t>
            </w:r>
          </w:p>
          <w:p w14:paraId="083CE764" w14:textId="77777777" w:rsidR="008B43FA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8. </w:t>
            </w:r>
            <w:r w:rsidRPr="008B43FA">
              <w:rPr>
                <w:sz w:val="28"/>
                <w:szCs w:val="28"/>
                <w:lang w:val="uk-UA"/>
              </w:rPr>
              <w:t>Участь у розробленні проектів нормативно-правових актів з питань, віднесених законодавством до компетенції відділу, та розпорядчих документів ДРС з питань, що належать до компетенції відділу.</w:t>
            </w:r>
          </w:p>
          <w:p w14:paraId="2DEF7F99" w14:textId="23859E07" w:rsidR="00FD5F6D" w:rsidRPr="00FD5F6D" w:rsidRDefault="008B43FA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8B43FA">
              <w:rPr>
                <w:sz w:val="28"/>
                <w:szCs w:val="28"/>
                <w:lang w:val="uk-UA"/>
              </w:rPr>
              <w:t>Виконання інших завдань, визначених начальником відділу, необхідних для реалізації завдань і функцій, покладених на відділ.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D58F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D58F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2AB7B651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20</w:t>
            </w:r>
            <w:r w:rsidR="00FD58FF" w:rsidRPr="00FD58FF">
              <w:rPr>
                <w:b/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7586D845" w:rsidR="00FD58FF" w:rsidRPr="00CA136B" w:rsidRDefault="00E3507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липня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4DC6443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 xml:space="preserve">1) Закон України «Про засади державної регуляторної політики у сфері господарської діяльності»; </w:t>
            </w:r>
          </w:p>
          <w:p w14:paraId="35FF224D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>2) Закон України «Про дозвільну систему у сфері господарської діяльності»;</w:t>
            </w:r>
          </w:p>
          <w:p w14:paraId="17D3B426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>3) Закон України «Про ліцензування видів господарської діяльності»;</w:t>
            </w:r>
          </w:p>
          <w:p w14:paraId="2FB2D6EB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 xml:space="preserve">4) Закон України «Про основні засади державного нагляду (контролю) у сфері господарської діяльності»; </w:t>
            </w:r>
          </w:p>
          <w:p w14:paraId="7AEBC94A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kern w:val="36"/>
                <w:sz w:val="28"/>
                <w:szCs w:val="28"/>
              </w:rPr>
              <w:t>5) Закон України «Про звернення громадян»;</w:t>
            </w:r>
          </w:p>
          <w:p w14:paraId="42960682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ind w:right="170"/>
              <w:rPr>
                <w:kern w:val="36"/>
                <w:sz w:val="28"/>
                <w:szCs w:val="28"/>
              </w:rPr>
            </w:pPr>
            <w:r w:rsidRPr="00853AFD">
              <w:rPr>
                <w:kern w:val="36"/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10846EFD" w14:textId="77777777" w:rsidR="00F91D34" w:rsidRPr="00853AFD" w:rsidRDefault="00F91D34" w:rsidP="00F91D34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 xml:space="preserve">7) Постанова Кабінету Міністрів України від 24.12.2014 № 724 «Деякі питання Державної регуляторної служби України»; </w:t>
            </w:r>
          </w:p>
          <w:p w14:paraId="37C80F88" w14:textId="43A29782" w:rsidR="00D70F08" w:rsidRPr="00BE1980" w:rsidRDefault="00F91D34" w:rsidP="00F91D34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rStyle w:val="FontStyle15"/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 xml:space="preserve">8) Постанова Кабінету Міністрів України від </w:t>
            </w:r>
            <w:r w:rsidRPr="00853AFD">
              <w:rPr>
                <w:rStyle w:val="rvts9"/>
                <w:sz w:val="28"/>
                <w:szCs w:val="28"/>
              </w:rPr>
              <w:t>17.01.2018 № 55 «</w:t>
            </w:r>
            <w:r w:rsidRPr="00853AFD">
              <w:rPr>
                <w:rStyle w:val="rvts23"/>
                <w:sz w:val="28"/>
                <w:szCs w:val="28"/>
              </w:rPr>
              <w:t>Деякі питання документування управлінської діяльності»</w:t>
            </w:r>
            <w:r>
              <w:rPr>
                <w:rStyle w:val="rvts23"/>
                <w:sz w:val="28"/>
                <w:szCs w:val="28"/>
              </w:rPr>
              <w:t>.</w:t>
            </w:r>
          </w:p>
        </w:tc>
      </w:tr>
      <w:tr w:rsidR="00944D79" w:rsidRPr="00BE1980" w14:paraId="1FDDC15B" w14:textId="77777777" w:rsidTr="00C62B4B">
        <w:tc>
          <w:tcPr>
            <w:tcW w:w="534" w:type="dxa"/>
          </w:tcPr>
          <w:p w14:paraId="06C168FA" w14:textId="1829FF48" w:rsidR="00944D79" w:rsidRPr="00944D79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44E4E569" w14:textId="40829350" w:rsidR="00944D79" w:rsidRPr="00DF0DF5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25B62">
              <w:rPr>
                <w:sz w:val="28"/>
                <w:szCs w:val="28"/>
                <w:lang w:val="uk-UA"/>
              </w:rPr>
              <w:t>і</w:t>
            </w:r>
            <w:r w:rsidR="00225B62" w:rsidRPr="00225B62">
              <w:rPr>
                <w:sz w:val="28"/>
                <w:szCs w:val="28"/>
                <w:lang w:val="uk-UA"/>
              </w:rPr>
              <w:t>нформаційн</w:t>
            </w:r>
            <w:r w:rsidR="00225B62">
              <w:rPr>
                <w:sz w:val="28"/>
                <w:szCs w:val="28"/>
                <w:lang w:val="uk-UA"/>
              </w:rPr>
              <w:t>ого</w:t>
            </w:r>
            <w:r w:rsidR="00225B62" w:rsidRPr="00225B62">
              <w:rPr>
                <w:sz w:val="28"/>
                <w:szCs w:val="28"/>
                <w:lang w:val="uk-UA"/>
              </w:rPr>
              <w:t xml:space="preserve"> супроводження діяльності Голови Державної регуляторної служби України для здійснення ним повноважень з питань реалізації державної політики у </w:t>
            </w:r>
            <w:r w:rsidR="00225B62" w:rsidRPr="00225B62">
              <w:rPr>
                <w:sz w:val="28"/>
                <w:szCs w:val="28"/>
                <w:lang w:val="uk-UA"/>
              </w:rPr>
              <w:lastRenderedPageBreak/>
              <w:t>сферах, що належать до компетенції ДРС.</w:t>
            </w:r>
          </w:p>
        </w:tc>
        <w:tc>
          <w:tcPr>
            <w:tcW w:w="10080" w:type="dxa"/>
          </w:tcPr>
          <w:p w14:paraId="38F753CB" w14:textId="122591C6" w:rsidR="00DF0DF5" w:rsidRDefault="00DF0DF5" w:rsidP="00DF0DF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lastRenderedPageBreak/>
              <w:t>Знання:</w:t>
            </w:r>
          </w:p>
          <w:p w14:paraId="5B9C9BC2" w14:textId="66BEDCFF" w:rsidR="00F91D34" w:rsidRPr="00F91D34" w:rsidRDefault="00F91D34" w:rsidP="00F91D3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F91D34">
              <w:rPr>
                <w:sz w:val="28"/>
                <w:szCs w:val="28"/>
                <w:lang w:val="uk-UA"/>
              </w:rPr>
              <w:t>основ державного управління, адміністративної роботи, системи та компетенції державних органів виконавчої влади України.</w:t>
            </w:r>
          </w:p>
          <w:p w14:paraId="1C41B587" w14:textId="658A58B9" w:rsidR="00944D79" w:rsidRPr="00BE1980" w:rsidRDefault="00DF0DF5" w:rsidP="00DF0DF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загальних вимог щодо основ діловодства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456CD71" w14:textId="7881FAAA" w:rsidR="00EB29ED" w:rsidRDefault="00EB29ED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0" w:name="n15"/>
      <w:bookmarkEnd w:id="0"/>
    </w:p>
    <w:sectPr w:rsidR="00EB29ED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23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5"/>
  </w:num>
  <w:num w:numId="18">
    <w:abstractNumId w:val="3"/>
  </w:num>
  <w:num w:numId="19">
    <w:abstractNumId w:val="14"/>
  </w:num>
  <w:num w:numId="20">
    <w:abstractNumId w:val="6"/>
  </w:num>
  <w:num w:numId="21">
    <w:abstractNumId w:val="21"/>
  </w:num>
  <w:num w:numId="22">
    <w:abstractNumId w:val="17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633A4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1B26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E4BEE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7</cp:revision>
  <cp:lastPrinted>2021-07-12T13:31:00Z</cp:lastPrinted>
  <dcterms:created xsi:type="dcterms:W3CDTF">2021-07-08T07:46:00Z</dcterms:created>
  <dcterms:modified xsi:type="dcterms:W3CDTF">2021-07-12T13:32:00Z</dcterms:modified>
</cp:coreProperties>
</file>