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4CE9DD67" w:rsidR="008111F3" w:rsidRPr="00CA136B" w:rsidRDefault="00E93CB1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>в</w:t>
      </w:r>
      <w:r w:rsidR="008111F3" w:rsidRPr="00B03DB3">
        <w:rPr>
          <w:szCs w:val="28"/>
        </w:rPr>
        <w:t>ід</w:t>
      </w:r>
      <w:r w:rsidRPr="00B03DB3">
        <w:rPr>
          <w:szCs w:val="28"/>
        </w:rPr>
        <w:t xml:space="preserve"> </w:t>
      </w:r>
      <w:r w:rsidR="0055377E">
        <w:rPr>
          <w:szCs w:val="28"/>
        </w:rPr>
        <w:t>1</w:t>
      </w:r>
      <w:r w:rsidR="0089698F">
        <w:rPr>
          <w:szCs w:val="28"/>
        </w:rPr>
        <w:t>5</w:t>
      </w:r>
      <w:r w:rsidR="008111F3" w:rsidRPr="00B03DB3">
        <w:rPr>
          <w:szCs w:val="28"/>
        </w:rPr>
        <w:t>.0</w:t>
      </w:r>
      <w:r w:rsidR="00E35077">
        <w:rPr>
          <w:szCs w:val="28"/>
        </w:rPr>
        <w:t>7</w:t>
      </w:r>
      <w:r w:rsidR="008111F3" w:rsidRPr="00B03DB3">
        <w:rPr>
          <w:szCs w:val="28"/>
        </w:rPr>
        <w:t>.202</w:t>
      </w:r>
      <w:r w:rsidR="00B351F0" w:rsidRPr="00B03DB3">
        <w:rPr>
          <w:szCs w:val="28"/>
        </w:rPr>
        <w:t>1</w:t>
      </w:r>
      <w:r w:rsidR="008111F3" w:rsidRPr="00B03DB3">
        <w:rPr>
          <w:szCs w:val="28"/>
        </w:rPr>
        <w:t xml:space="preserve"> № </w:t>
      </w:r>
      <w:r w:rsidR="003F684D">
        <w:rPr>
          <w:szCs w:val="28"/>
        </w:rPr>
        <w:t>3</w:t>
      </w:r>
      <w:r w:rsidR="0089698F">
        <w:rPr>
          <w:szCs w:val="28"/>
        </w:rPr>
        <w:t>87</w:t>
      </w:r>
      <w:r w:rsidR="006F51CC">
        <w:rPr>
          <w:szCs w:val="28"/>
        </w:rPr>
        <w:t>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5DEF0D17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 xml:space="preserve">головного спеціаліста </w:t>
      </w:r>
      <w:r w:rsidR="006C2FD7" w:rsidRPr="006C2FD7">
        <w:rPr>
          <w:sz w:val="28"/>
          <w:szCs w:val="28"/>
        </w:rPr>
        <w:t>відділу забезпечення діяльності експертно-апеляційної ради Управління ліцензування та дозвільної системи</w:t>
      </w:r>
      <w:r w:rsidR="006C2FD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F91CD36" w14:textId="2846065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C2FD7">
              <w:rPr>
                <w:sz w:val="28"/>
                <w:szCs w:val="28"/>
              </w:rPr>
              <w:t xml:space="preserve">Участь в організаційному та </w:t>
            </w:r>
            <w:proofErr w:type="spellStart"/>
            <w:r w:rsidRPr="006C2FD7">
              <w:rPr>
                <w:sz w:val="28"/>
                <w:szCs w:val="28"/>
              </w:rPr>
              <w:t>інформаційному</w:t>
            </w:r>
            <w:proofErr w:type="spellEnd"/>
            <w:r w:rsidRPr="006C2FD7">
              <w:rPr>
                <w:sz w:val="28"/>
                <w:szCs w:val="28"/>
              </w:rPr>
              <w:t xml:space="preserve"> </w:t>
            </w:r>
            <w:proofErr w:type="spellStart"/>
            <w:r w:rsidRPr="006C2FD7">
              <w:rPr>
                <w:sz w:val="28"/>
                <w:szCs w:val="28"/>
              </w:rPr>
              <w:t>забезпеченні</w:t>
            </w:r>
            <w:proofErr w:type="spellEnd"/>
            <w:r w:rsidRPr="006C2FD7">
              <w:rPr>
                <w:sz w:val="28"/>
                <w:szCs w:val="28"/>
              </w:rPr>
              <w:t xml:space="preserve"> </w:t>
            </w:r>
            <w:proofErr w:type="spellStart"/>
            <w:r w:rsidRPr="006C2FD7">
              <w:rPr>
                <w:sz w:val="28"/>
                <w:szCs w:val="28"/>
              </w:rPr>
              <w:t>діяльності</w:t>
            </w:r>
            <w:proofErr w:type="spellEnd"/>
            <w:r w:rsidRPr="006C2FD7">
              <w:rPr>
                <w:sz w:val="28"/>
                <w:szCs w:val="28"/>
              </w:rPr>
              <w:t xml:space="preserve"> </w:t>
            </w:r>
            <w:proofErr w:type="spellStart"/>
            <w:r w:rsidRPr="006C2FD7">
              <w:rPr>
                <w:sz w:val="28"/>
                <w:szCs w:val="28"/>
              </w:rPr>
              <w:t>Експертно-апеляційної</w:t>
            </w:r>
            <w:proofErr w:type="spellEnd"/>
            <w:r w:rsidRPr="006C2FD7">
              <w:rPr>
                <w:sz w:val="28"/>
                <w:szCs w:val="28"/>
              </w:rPr>
              <w:t xml:space="preserve"> ради з </w:t>
            </w:r>
            <w:proofErr w:type="spellStart"/>
            <w:r w:rsidRPr="006C2FD7">
              <w:rPr>
                <w:sz w:val="28"/>
                <w:szCs w:val="28"/>
              </w:rPr>
              <w:t>питань</w:t>
            </w:r>
            <w:proofErr w:type="spellEnd"/>
            <w:r w:rsidRPr="006C2FD7">
              <w:rPr>
                <w:sz w:val="28"/>
                <w:szCs w:val="28"/>
              </w:rPr>
              <w:t xml:space="preserve"> </w:t>
            </w:r>
            <w:proofErr w:type="spellStart"/>
            <w:r w:rsidRPr="006C2FD7">
              <w:rPr>
                <w:sz w:val="28"/>
                <w:szCs w:val="28"/>
              </w:rPr>
              <w:t>ліцензування</w:t>
            </w:r>
            <w:proofErr w:type="spellEnd"/>
            <w:r w:rsidRPr="006C2FD7">
              <w:rPr>
                <w:sz w:val="28"/>
                <w:szCs w:val="28"/>
              </w:rPr>
              <w:t>.</w:t>
            </w:r>
          </w:p>
          <w:p w14:paraId="177A8176" w14:textId="40336BA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C2FD7">
              <w:rPr>
                <w:sz w:val="28"/>
                <w:szCs w:val="28"/>
              </w:rPr>
              <w:t>Участь у підготовці пропозицій щодо формування складу Експертно-апеляційної ради з питань ліцензування.</w:t>
            </w:r>
          </w:p>
          <w:p w14:paraId="51C5549F" w14:textId="3FB6177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2FD7">
              <w:rPr>
                <w:sz w:val="28"/>
                <w:szCs w:val="28"/>
              </w:rPr>
              <w:t>Підготовка матеріалів для розгляду Експертно-апеляційною радою з питань ліцензування:</w:t>
            </w:r>
          </w:p>
          <w:p w14:paraId="1A4C3F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скарг здобувачів ліцензії, ліцензіатів на дії (бездіяльність) органу ліцензування щодо порушення законодавства у сфері ліцензування;</w:t>
            </w:r>
          </w:p>
          <w:p w14:paraId="7A3CB9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 - звернень органів ліцензування щодо проведення позапланових перевірок додержання ліцензіатами вимог ліцензійних умов на підставах, передбачених пунктами 2, 4 і 5 частини третьої статті 19 Закону України «Про ліцензування видів господарської діяльності»;</w:t>
            </w:r>
          </w:p>
          <w:p w14:paraId="06B531E9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 та запит необхідних матеріалів для їх розгляду.</w:t>
            </w:r>
          </w:p>
          <w:p w14:paraId="70485A55" w14:textId="761398FB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4. Підготовка:</w:t>
            </w:r>
          </w:p>
          <w:p w14:paraId="22BE72E8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- за результатами розгляду рішень Експертно-апеляційної ради з питань ліцензування проектів розпоряджень Державної регуляторної служби України про розгляд скарги; </w:t>
            </w:r>
          </w:p>
          <w:p w14:paraId="7F4AE3D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-  на підставі рішень Експертно-апеляційної ради з питань ліцензування проектів листів про погодження (повідомлень про непогодження) органу ліцензування проведення позапланової перевірки додержання ліцензіатом вимог ліцензійних умов на підставах, передбачених пунктами 2, 4 або 5 частини третьої статті 19 Закону України «Про ліцензування видів господарської діяльності».</w:t>
            </w:r>
          </w:p>
          <w:p w14:paraId="77141D86" w14:textId="18106CA8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5. Опрацювання рекомендацій та/або рішень, схвалених Експертно-апеляційною радою з питань ліцензування, щодо надання пропозицій про внесення змін до законодавства, вдосконалення державної політики у сфері ліцензування; щодо врахування результатів проведеної Експертно-апеляційною радою з питань ліцензування експертизи проектів нормативно-правових актів у сфері ліцензування.</w:t>
            </w:r>
          </w:p>
          <w:p w14:paraId="59BD9D48" w14:textId="34143EAD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6. Підготовка інформації про результати діяльності Експертно-апеляційної ради з питань ліцензування для оприлюднення на офіційному веб-сайті ДРС.</w:t>
            </w:r>
          </w:p>
          <w:p w14:paraId="5A47B9E2" w14:textId="7B79F21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7. Участь у розробці проектів нормативно-правових актів з питань ліцензування та у проведенні експертизи проектів нормативно-правових актів з питань ліцензування, що надходять на погодження до ДРС, в межах компетенції Відділу.</w:t>
            </w:r>
          </w:p>
          <w:p w14:paraId="2DEF7F99" w14:textId="02F37C28" w:rsidR="00FD5F6D" w:rsidRPr="00BE57A5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8. Підготовка проектів відповідей на звернення громадян та суб’єктів господарювання, а також звернень і запитів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питань, що належить до компетенції Відділу.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7CF5A9A1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FD58FF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FD58FF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FD58FF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D58F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D58F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FD58FF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4DDBE658" w:rsidR="00F016C5" w:rsidRPr="00FD58FF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до </w:t>
            </w:r>
            <w:r w:rsidR="0054478B" w:rsidRPr="00FD58FF">
              <w:rPr>
                <w:b/>
                <w:sz w:val="28"/>
                <w:szCs w:val="28"/>
              </w:rPr>
              <w:t>17</w:t>
            </w:r>
            <w:r w:rsidRPr="00FD58FF">
              <w:rPr>
                <w:b/>
                <w:sz w:val="28"/>
                <w:szCs w:val="28"/>
              </w:rPr>
              <w:t xml:space="preserve"> год. </w:t>
            </w:r>
            <w:r w:rsidR="0054478B" w:rsidRPr="00FD58FF">
              <w:rPr>
                <w:b/>
                <w:sz w:val="28"/>
                <w:szCs w:val="28"/>
              </w:rPr>
              <w:t>00</w:t>
            </w:r>
            <w:r w:rsidRPr="00FD58FF">
              <w:rPr>
                <w:b/>
                <w:sz w:val="28"/>
                <w:szCs w:val="28"/>
              </w:rPr>
              <w:t xml:space="preserve"> хв.</w:t>
            </w:r>
            <w:r w:rsidRPr="00FD58FF">
              <w:rPr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2</w:t>
            </w:r>
            <w:r w:rsidR="0089698F">
              <w:rPr>
                <w:b/>
                <w:sz w:val="28"/>
                <w:szCs w:val="28"/>
              </w:rPr>
              <w:t>2</w:t>
            </w:r>
            <w:r w:rsidR="00FD58FF" w:rsidRPr="00FD58FF">
              <w:rPr>
                <w:b/>
                <w:sz w:val="28"/>
                <w:szCs w:val="28"/>
              </w:rPr>
              <w:t xml:space="preserve"> </w:t>
            </w:r>
            <w:r w:rsidR="00E35077"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63F702AE" w:rsidR="00FD58FF" w:rsidRPr="00CA136B" w:rsidRDefault="00E35077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9698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липня</w:t>
            </w:r>
            <w:r w:rsidR="00FD58FF">
              <w:rPr>
                <w:sz w:val="28"/>
                <w:szCs w:val="28"/>
              </w:rPr>
              <w:t xml:space="preserve"> 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463160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</w:t>
            </w:r>
            <w:r w:rsidRPr="004631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співбесіди: </w:t>
            </w:r>
            <w:r w:rsidR="00FD58FF"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77777777" w:rsidR="00FD58FF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77777777" w:rsidR="00FD58FF" w:rsidRPr="00FD58FF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BE1980" w14:paraId="1108B418" w14:textId="77777777" w:rsidTr="00C62B4B">
        <w:tc>
          <w:tcPr>
            <w:tcW w:w="534" w:type="dxa"/>
          </w:tcPr>
          <w:p w14:paraId="58376205" w14:textId="73BF22CF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5FB82DF6" w14:textId="118EC7FA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FD58FF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FD58FF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2D9A8961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087D1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087D1F">
              <w:rPr>
                <w:sz w:val="28"/>
                <w:szCs w:val="28"/>
              </w:rPr>
              <w:t>Постанова Кабінету Міністрів України від 05.08.2015 № 609 «</w:t>
            </w:r>
            <w:r w:rsidRPr="00087D1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BE1980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087D1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087D1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A94FBA">
              <w:rPr>
                <w:color w:val="333333"/>
                <w:sz w:val="28"/>
                <w:szCs w:val="28"/>
                <w:shd w:val="clear" w:color="auto" w:fill="FFFFFF"/>
              </w:rPr>
              <w:t>03</w:t>
            </w:r>
            <w:r w:rsidRPr="00087D1F">
              <w:rPr>
                <w:color w:val="333333"/>
                <w:sz w:val="28"/>
                <w:szCs w:val="28"/>
                <w:shd w:val="clear" w:color="auto" w:fill="FFFFFF"/>
              </w:rPr>
              <w:t xml:space="preserve">.02.2020  № 164/12, зареєстроване в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</w:t>
            </w:r>
            <w:r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за № 170/34453</w:t>
            </w:r>
            <w:r w:rsidRPr="00087D1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BE1980" w14:paraId="1FDDC15B" w14:textId="77777777" w:rsidTr="00C62B4B">
        <w:tc>
          <w:tcPr>
            <w:tcW w:w="534" w:type="dxa"/>
          </w:tcPr>
          <w:p w14:paraId="06C168FA" w14:textId="1829FF48" w:rsidR="003408FA" w:rsidRPr="00944D79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 xml:space="preserve">Знання </w:t>
            </w:r>
            <w:r w:rsidRPr="003408FA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>щодо забезпечення організаційного та інформаційного забезпечення діяльності Експертно-апеляційної ради з питань ліцензування</w:t>
            </w:r>
          </w:p>
          <w:p w14:paraId="44E4E569" w14:textId="171FB258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3408FA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3408FA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0BF27497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6F6F43" w14:textId="77777777" w:rsidR="003408FA" w:rsidRPr="003408FA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 xml:space="preserve">- </w:t>
            </w:r>
            <w:r w:rsidRPr="003408FA">
              <w:rPr>
                <w:sz w:val="28"/>
                <w:szCs w:val="28"/>
                <w:shd w:val="clear" w:color="auto" w:fill="FFFFFF"/>
              </w:rPr>
              <w:t>в</w:t>
            </w:r>
            <w:r w:rsidRPr="003408FA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3408FA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3408FA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3408FA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3408FA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22"/>
  </w:num>
  <w:num w:numId="10">
    <w:abstractNumId w:val="5"/>
  </w:num>
  <w:num w:numId="11">
    <w:abstractNumId w:val="23"/>
  </w:num>
  <w:num w:numId="12">
    <w:abstractNumId w:val="27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408FA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1323</Words>
  <Characters>9445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4</cp:revision>
  <cp:lastPrinted>2021-07-15T09:52:00Z</cp:lastPrinted>
  <dcterms:created xsi:type="dcterms:W3CDTF">2021-07-15T09:53:00Z</dcterms:created>
  <dcterms:modified xsi:type="dcterms:W3CDTF">2021-07-15T09:57:00Z</dcterms:modified>
</cp:coreProperties>
</file>