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E9" w:rsidRPr="00F66130" w:rsidRDefault="003E2DE9" w:rsidP="003E2DE9">
      <w:pPr>
        <w:framePr w:h="1190" w:hSpace="38" w:vSpace="58" w:wrap="auto" w:vAnchor="text" w:hAnchor="page" w:x="5664" w:y="1"/>
        <w:rPr>
          <w:lang w:val="uk-U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71"/>
        <w:gridCol w:w="2172"/>
        <w:gridCol w:w="2171"/>
        <w:gridCol w:w="2172"/>
        <w:gridCol w:w="2171"/>
        <w:gridCol w:w="2172"/>
        <w:gridCol w:w="2172"/>
      </w:tblGrid>
      <w:tr w:rsidR="003E2DE9" w:rsidRPr="006241E3" w:rsidTr="00C036C0">
        <w:trPr>
          <w:trHeight w:val="3588"/>
        </w:trPr>
        <w:tc>
          <w:tcPr>
            <w:tcW w:w="534" w:type="dxa"/>
            <w:vAlign w:val="center"/>
          </w:tcPr>
          <w:p w:rsidR="003E2DE9" w:rsidRPr="006241E3" w:rsidRDefault="003E2DE9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№</w:t>
            </w:r>
          </w:p>
          <w:p w:rsidR="003E2DE9" w:rsidRPr="006241E3" w:rsidRDefault="003E2DE9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з/п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Питання / проект акта, щодо яких проведено консультації з громадськістю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C036C0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ind w:left="-83" w:right="-81"/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Чи звертався орган до громадської ради з пропозицією розглянути питання / проект акта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C036C0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 xml:space="preserve">Чи розглядала громадська рада питання / проект акта на своєму засіданні 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ind w:left="-57" w:right="-64"/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Чи надані громадською радою пропозиції (зауваження) щодо питання / проекту акта</w:t>
            </w:r>
          </w:p>
        </w:tc>
        <w:tc>
          <w:tcPr>
            <w:tcW w:w="2172" w:type="dxa"/>
            <w:vAlign w:val="center"/>
          </w:tcPr>
          <w:p w:rsidR="003E2DE9" w:rsidRPr="006241E3" w:rsidRDefault="003E2DE9" w:rsidP="00C036C0">
            <w:pPr>
              <w:ind w:left="-67" w:right="-14"/>
              <w:jc w:val="center"/>
              <w:rPr>
                <w:b/>
              </w:rPr>
            </w:pPr>
            <w:proofErr w:type="spellStart"/>
            <w:r w:rsidRPr="006241E3">
              <w:rPr>
                <w:b/>
              </w:rPr>
              <w:t>Кількість</w:t>
            </w:r>
            <w:proofErr w:type="spellEnd"/>
            <w:r w:rsidRPr="006241E3">
              <w:rPr>
                <w:b/>
              </w:rPr>
              <w:t xml:space="preserve"> </w:t>
            </w:r>
            <w:r w:rsidR="00C036C0" w:rsidRPr="006241E3">
              <w:rPr>
                <w:b/>
                <w:lang w:val="uk-UA"/>
              </w:rPr>
              <w:t>проведених засідань</w:t>
            </w:r>
            <w:r w:rsidRPr="006241E3">
              <w:rPr>
                <w:b/>
              </w:rPr>
              <w:t xml:space="preserve"> </w:t>
            </w:r>
            <w:proofErr w:type="spellStart"/>
            <w:r w:rsidRPr="006241E3">
              <w:rPr>
                <w:b/>
              </w:rPr>
              <w:t>громадської</w:t>
            </w:r>
            <w:proofErr w:type="spellEnd"/>
            <w:r w:rsidRPr="006241E3">
              <w:rPr>
                <w:b/>
              </w:rPr>
              <w:t xml:space="preserve"> </w:t>
            </w:r>
            <w:proofErr w:type="gramStart"/>
            <w:r w:rsidRPr="006241E3">
              <w:rPr>
                <w:b/>
              </w:rPr>
              <w:t>ради</w:t>
            </w:r>
            <w:proofErr w:type="gramEnd"/>
            <w:r w:rsidRPr="006241E3">
              <w:rPr>
                <w:b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Інші заходи громадської ради</w:t>
            </w:r>
          </w:p>
        </w:tc>
      </w:tr>
      <w:tr w:rsidR="00DF4264" w:rsidRPr="002C45D6" w:rsidTr="00DF4264">
        <w:trPr>
          <w:trHeight w:val="1365"/>
        </w:trPr>
        <w:tc>
          <w:tcPr>
            <w:tcW w:w="534" w:type="dxa"/>
          </w:tcPr>
          <w:p w:rsidR="00DF4264" w:rsidRPr="006241E3" w:rsidRDefault="00DF4264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1.</w:t>
            </w:r>
          </w:p>
        </w:tc>
        <w:tc>
          <w:tcPr>
            <w:tcW w:w="2171" w:type="dxa"/>
          </w:tcPr>
          <w:p w:rsidR="00DF4264" w:rsidRPr="006241E3" w:rsidRDefault="00DF4264" w:rsidP="002C45D6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Закону України «Про внесення змін до Закону України «Про ліцензування видів господарської діяльності» </w:t>
            </w:r>
          </w:p>
        </w:tc>
        <w:tc>
          <w:tcPr>
            <w:tcW w:w="2172" w:type="dxa"/>
          </w:tcPr>
          <w:p w:rsidR="00DF4264" w:rsidRPr="006241E3" w:rsidRDefault="00DF4264" w:rsidP="00C2737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(24.11.2016)</w:t>
            </w:r>
          </w:p>
        </w:tc>
        <w:tc>
          <w:tcPr>
            <w:tcW w:w="2171" w:type="dxa"/>
          </w:tcPr>
          <w:p w:rsidR="00DF4264" w:rsidRPr="006241E3" w:rsidRDefault="00DF4264" w:rsidP="000B62ED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 xml:space="preserve">Так </w:t>
            </w:r>
          </w:p>
        </w:tc>
        <w:tc>
          <w:tcPr>
            <w:tcW w:w="2172" w:type="dxa"/>
          </w:tcPr>
          <w:p w:rsidR="00DF4264" w:rsidRPr="006241E3" w:rsidRDefault="00DF4264" w:rsidP="000B62ED">
            <w:pPr>
              <w:spacing w:after="60"/>
              <w:jc w:val="center"/>
              <w:rPr>
                <w:color w:val="000000"/>
                <w:lang w:val="uk-UA"/>
              </w:rPr>
            </w:pPr>
            <w:r w:rsidRPr="006241E3">
              <w:rPr>
                <w:color w:val="000000"/>
                <w:lang w:val="uk-UA"/>
              </w:rPr>
              <w:t xml:space="preserve">Так </w:t>
            </w:r>
          </w:p>
        </w:tc>
        <w:tc>
          <w:tcPr>
            <w:tcW w:w="2171" w:type="dxa"/>
          </w:tcPr>
          <w:p w:rsidR="00DF4264" w:rsidRPr="006241E3" w:rsidRDefault="00DF4264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 xml:space="preserve">Так </w:t>
            </w:r>
          </w:p>
        </w:tc>
        <w:tc>
          <w:tcPr>
            <w:tcW w:w="2172" w:type="dxa"/>
            <w:vMerge w:val="restart"/>
          </w:tcPr>
          <w:p w:rsidR="00DF4264" w:rsidRPr="006241E3" w:rsidRDefault="00DF4264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1</w:t>
            </w:r>
          </w:p>
        </w:tc>
        <w:tc>
          <w:tcPr>
            <w:tcW w:w="2172" w:type="dxa"/>
            <w:vMerge w:val="restart"/>
          </w:tcPr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Засідання комітету ГР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з питань ліцензування та дозвільної системи у сфері господарської діяльності</w:t>
            </w:r>
          </w:p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Засідання комітету ГР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з питань дерегуляції та розвитку саморегулювання</w:t>
            </w:r>
          </w:p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 З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асідання профільної робочої групи з виявлення проблемних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питань у сфері пожежної безпеки</w:t>
            </w:r>
          </w:p>
          <w:p w:rsid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4264" w:rsidRPr="00DF4264" w:rsidRDefault="00DF4264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З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асідання профільної робочої групи з охорони праці та промислової безпеки</w:t>
            </w:r>
          </w:p>
        </w:tc>
      </w:tr>
      <w:tr w:rsidR="00DF4264" w:rsidRPr="00B66600" w:rsidTr="00B66600">
        <w:trPr>
          <w:trHeight w:val="1662"/>
        </w:trPr>
        <w:tc>
          <w:tcPr>
            <w:tcW w:w="534" w:type="dxa"/>
          </w:tcPr>
          <w:p w:rsidR="00DF4264" w:rsidRPr="006241E3" w:rsidRDefault="00DF4264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171" w:type="dxa"/>
          </w:tcPr>
          <w:p w:rsidR="00DF4264" w:rsidRPr="006241E3" w:rsidRDefault="00DF4264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постанови КМУ «Про внесення змін до переліку платних послуг, які надаються підрозділами МВС, </w:t>
            </w:r>
            <w:proofErr w:type="spellStart"/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>Нацполіції</w:t>
            </w:r>
            <w:proofErr w:type="spellEnd"/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>, Державної міграційної служби, і розміру плати за їх надання»</w:t>
            </w:r>
          </w:p>
        </w:tc>
        <w:tc>
          <w:tcPr>
            <w:tcW w:w="2172" w:type="dxa"/>
          </w:tcPr>
          <w:p w:rsidR="00DF4264" w:rsidRPr="006241E3" w:rsidRDefault="00DF4264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 Нарада (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21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  <w:p w:rsidR="00DF4264" w:rsidRPr="00280E40" w:rsidRDefault="00DF4264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2) Засідання, зустріч з громадськістю (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DF4264" w:rsidRPr="006241E3" w:rsidRDefault="00DF4264" w:rsidP="00BF58D2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</w:tcPr>
          <w:p w:rsidR="00DF4264" w:rsidRPr="006241E3" w:rsidRDefault="00DF4264" w:rsidP="00BF58D2">
            <w:pPr>
              <w:spacing w:after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1" w:type="dxa"/>
          </w:tcPr>
          <w:p w:rsidR="00DF4264" w:rsidRPr="006241E3" w:rsidRDefault="00DF4264" w:rsidP="00BF58D2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  <w:vMerge/>
          </w:tcPr>
          <w:p w:rsidR="00DF4264" w:rsidRPr="006241E3" w:rsidRDefault="00DF4264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DF4264" w:rsidRPr="00B66600" w:rsidRDefault="00DF4264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14697" w:rsidRPr="00B66600" w:rsidTr="00241035">
        <w:trPr>
          <w:trHeight w:val="7923"/>
        </w:trPr>
        <w:tc>
          <w:tcPr>
            <w:tcW w:w="534" w:type="dxa"/>
          </w:tcPr>
          <w:p w:rsidR="00F14697" w:rsidRPr="006241E3" w:rsidRDefault="00F14697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171" w:type="dxa"/>
          </w:tcPr>
          <w:p w:rsidR="00F14697" w:rsidRPr="006241E3" w:rsidRDefault="00F1469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41035">
              <w:rPr>
                <w:rFonts w:ascii="Times New Roman" w:hAnsi="Times New Roman"/>
                <w:sz w:val="24"/>
                <w:szCs w:val="24"/>
                <w:lang w:val="uk-UA"/>
              </w:rPr>
              <w:t>бговорення Закону України «Про основні вимоги до будівель та споруд, а також умови розміщення на ринку будівельних виробів, гармонізовані з нормами законодавства Європейського Союзу», розробленого Міністерством регіонального розвитку, будівництва та житлово-комунального господарства України з метою імплементації в Україні Регламенту ЄС № 305/2011</w:t>
            </w:r>
          </w:p>
        </w:tc>
        <w:tc>
          <w:tcPr>
            <w:tcW w:w="2172" w:type="dxa"/>
          </w:tcPr>
          <w:p w:rsidR="00F14697" w:rsidRPr="006241E3" w:rsidRDefault="00F14697" w:rsidP="00FE4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F14697" w:rsidRDefault="00F14697" w:rsidP="00BF58D2">
            <w:pPr>
              <w:spacing w:before="60"/>
              <w:ind w:hanging="9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</w:tcPr>
          <w:p w:rsidR="00F14697" w:rsidRDefault="00F14697" w:rsidP="00BF58D2">
            <w:pPr>
              <w:spacing w:after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1" w:type="dxa"/>
          </w:tcPr>
          <w:p w:rsidR="00F14697" w:rsidRDefault="00F14697" w:rsidP="00BF58D2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  <w:vMerge/>
          </w:tcPr>
          <w:p w:rsidR="00F14697" w:rsidRPr="006241E3" w:rsidRDefault="00F1469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F14697" w:rsidRPr="00B66600" w:rsidRDefault="00F1469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14697" w:rsidRPr="00B66600" w:rsidTr="00DF4264">
        <w:trPr>
          <w:trHeight w:val="335"/>
        </w:trPr>
        <w:tc>
          <w:tcPr>
            <w:tcW w:w="534" w:type="dxa"/>
          </w:tcPr>
          <w:p w:rsidR="00F14697" w:rsidRPr="00DF4264" w:rsidRDefault="00F14697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171" w:type="dxa"/>
          </w:tcPr>
          <w:p w:rsidR="00F14697" w:rsidRPr="00DF4264" w:rsidRDefault="00F1469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бговорення питань гармонізації законодавства України у сфері державного контролю за міжнародними </w:t>
            </w: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передачами товарів подвійного використання з міжнародними зобов’язаннями України</w:t>
            </w:r>
          </w:p>
        </w:tc>
        <w:tc>
          <w:tcPr>
            <w:tcW w:w="2172" w:type="dxa"/>
          </w:tcPr>
          <w:p w:rsidR="00F14697" w:rsidRDefault="00F14697" w:rsidP="002410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F14697" w:rsidRDefault="00F14697" w:rsidP="00BF58D2">
            <w:pPr>
              <w:spacing w:before="60"/>
              <w:ind w:hanging="9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</w:tcPr>
          <w:p w:rsidR="00F14697" w:rsidRDefault="00F14697" w:rsidP="00BF58D2">
            <w:pPr>
              <w:spacing w:after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1" w:type="dxa"/>
          </w:tcPr>
          <w:p w:rsidR="00F14697" w:rsidRDefault="00F14697" w:rsidP="00BF58D2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  <w:vMerge/>
          </w:tcPr>
          <w:p w:rsidR="00F14697" w:rsidRPr="006241E3" w:rsidRDefault="00F1469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F14697" w:rsidRPr="00B66600" w:rsidRDefault="00F1469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14697" w:rsidRPr="00B66600" w:rsidTr="00F14697">
        <w:trPr>
          <w:trHeight w:val="2020"/>
        </w:trPr>
        <w:tc>
          <w:tcPr>
            <w:tcW w:w="534" w:type="dxa"/>
          </w:tcPr>
          <w:p w:rsidR="00F14697" w:rsidRDefault="00F14697" w:rsidP="000B62ED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171" w:type="dxa"/>
          </w:tcPr>
          <w:p w:rsidR="00F14697" w:rsidRPr="00DF4264" w:rsidRDefault="00F14697" w:rsidP="00F14697">
            <w:pPr>
              <w:rPr>
                <w:lang w:val="en-US"/>
              </w:rPr>
            </w:pPr>
            <w:r>
              <w:rPr>
                <w:lang w:val="uk-UA"/>
              </w:rPr>
              <w:t>О</w:t>
            </w:r>
            <w:r w:rsidRPr="002C45D6">
              <w:rPr>
                <w:lang w:val="uk-UA"/>
              </w:rPr>
              <w:t xml:space="preserve">бговорення </w:t>
            </w:r>
            <w:r>
              <w:rPr>
                <w:lang w:val="uk-UA"/>
              </w:rPr>
              <w:t>«</w:t>
            </w:r>
            <w:proofErr w:type="spellStart"/>
            <w:r>
              <w:t>Орієнтовн</w:t>
            </w:r>
            <w:r>
              <w:rPr>
                <w:lang w:val="uk-UA"/>
              </w:rPr>
              <w:t>ого</w:t>
            </w:r>
            <w:proofErr w:type="spellEnd"/>
            <w:r w:rsidRPr="00DF4264">
              <w:t xml:space="preserve"> план</w:t>
            </w:r>
            <w:r>
              <w:rPr>
                <w:lang w:val="uk-UA"/>
              </w:rPr>
              <w:t>у</w:t>
            </w:r>
            <w:r w:rsidRPr="00DF4264">
              <w:t xml:space="preserve"> </w:t>
            </w:r>
            <w:proofErr w:type="spellStart"/>
            <w:r w:rsidRPr="00DF4264">
              <w:t>проведення</w:t>
            </w:r>
            <w:proofErr w:type="spellEnd"/>
            <w:r w:rsidRPr="00DF4264">
              <w:t xml:space="preserve"> </w:t>
            </w:r>
            <w:proofErr w:type="spellStart"/>
            <w:r w:rsidRPr="00DF4264">
              <w:t>консультацій</w:t>
            </w:r>
            <w:proofErr w:type="spellEnd"/>
            <w:r w:rsidRPr="00DF4264">
              <w:t xml:space="preserve"> з </w:t>
            </w:r>
            <w:proofErr w:type="spellStart"/>
            <w:r w:rsidRPr="00DF4264">
              <w:t>громадськістю</w:t>
            </w:r>
            <w:proofErr w:type="spellEnd"/>
            <w:r>
              <w:rPr>
                <w:lang w:val="uk-UA"/>
              </w:rPr>
              <w:t xml:space="preserve"> ДРС </w:t>
            </w:r>
            <w:r w:rsidRPr="00DF4264">
              <w:t xml:space="preserve">на 2017 </w:t>
            </w:r>
            <w:proofErr w:type="spellStart"/>
            <w:r w:rsidRPr="00DF4264">
              <w:t>рік</w:t>
            </w:r>
            <w:proofErr w:type="spellEnd"/>
          </w:p>
        </w:tc>
        <w:tc>
          <w:tcPr>
            <w:tcW w:w="2172" w:type="dxa"/>
          </w:tcPr>
          <w:p w:rsidR="00F14697" w:rsidRDefault="00F14697" w:rsidP="00F1469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3) Електронні консультації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2016)</w:t>
            </w:r>
          </w:p>
        </w:tc>
        <w:tc>
          <w:tcPr>
            <w:tcW w:w="2171" w:type="dxa"/>
          </w:tcPr>
          <w:p w:rsidR="00F14697" w:rsidRPr="006241E3" w:rsidRDefault="00F14697" w:rsidP="00BF58D2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</w:tcPr>
          <w:p w:rsidR="00F14697" w:rsidRPr="006241E3" w:rsidRDefault="00F14697" w:rsidP="00BF58D2">
            <w:pPr>
              <w:spacing w:after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1" w:type="dxa"/>
          </w:tcPr>
          <w:p w:rsidR="00F14697" w:rsidRPr="006241E3" w:rsidRDefault="00F14697" w:rsidP="00BF58D2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  <w:vMerge/>
          </w:tcPr>
          <w:p w:rsidR="00F14697" w:rsidRPr="006241E3" w:rsidRDefault="00F1469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F14697" w:rsidRPr="00B66600" w:rsidRDefault="00F1469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3E2DE9" w:rsidRPr="003E2DE9" w:rsidRDefault="003E2DE9" w:rsidP="003E2DE9">
      <w:pPr>
        <w:jc w:val="center"/>
        <w:rPr>
          <w:b/>
          <w:sz w:val="28"/>
          <w:szCs w:val="28"/>
          <w:lang w:val="uk-UA"/>
        </w:rPr>
      </w:pPr>
    </w:p>
    <w:p w:rsidR="003E2DE9" w:rsidRPr="003E2DE9" w:rsidRDefault="003E2DE9" w:rsidP="003E2DE9">
      <w:pPr>
        <w:jc w:val="center"/>
        <w:rPr>
          <w:b/>
          <w:sz w:val="28"/>
          <w:szCs w:val="28"/>
          <w:lang w:val="uk-UA"/>
        </w:rPr>
      </w:pPr>
    </w:p>
    <w:p w:rsidR="003E2DE9" w:rsidRPr="00C27370" w:rsidRDefault="003E2DE9" w:rsidP="003E2DE9">
      <w:pPr>
        <w:jc w:val="center"/>
        <w:rPr>
          <w:b/>
          <w:sz w:val="28"/>
          <w:szCs w:val="28"/>
          <w:lang w:val="uk-UA"/>
        </w:rPr>
      </w:pPr>
    </w:p>
    <w:p w:rsidR="00A6367A" w:rsidRPr="00C27370" w:rsidRDefault="00A6367A">
      <w:pPr>
        <w:rPr>
          <w:lang w:val="uk-UA"/>
        </w:rPr>
      </w:pPr>
      <w:bookmarkStart w:id="0" w:name="_GoBack"/>
      <w:bookmarkEnd w:id="0"/>
    </w:p>
    <w:sectPr w:rsidR="00A6367A" w:rsidRPr="00C27370" w:rsidSect="00280E40">
      <w:headerReference w:type="default" r:id="rId8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96" w:rsidRDefault="00753D96">
      <w:r>
        <w:separator/>
      </w:r>
    </w:p>
  </w:endnote>
  <w:endnote w:type="continuationSeparator" w:id="0">
    <w:p w:rsidR="00753D96" w:rsidRDefault="007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96" w:rsidRDefault="00753D96">
      <w:r>
        <w:separator/>
      </w:r>
    </w:p>
  </w:footnote>
  <w:footnote w:type="continuationSeparator" w:id="0">
    <w:p w:rsidR="00753D96" w:rsidRDefault="0075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9F" w:rsidRDefault="00B666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80E40" w:rsidRPr="00280E40">
      <w:rPr>
        <w:noProof/>
        <w:lang w:val="ru-RU"/>
      </w:rPr>
      <w:t>2</w:t>
    </w:r>
    <w:r>
      <w:fldChar w:fldCharType="end"/>
    </w:r>
  </w:p>
  <w:p w:rsidR="00B3099F" w:rsidRDefault="00753D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556C"/>
    <w:multiLevelType w:val="hybridMultilevel"/>
    <w:tmpl w:val="0A6AD7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9"/>
    <w:rsid w:val="00241035"/>
    <w:rsid w:val="00280E40"/>
    <w:rsid w:val="002C45D6"/>
    <w:rsid w:val="003C172D"/>
    <w:rsid w:val="003E2DE9"/>
    <w:rsid w:val="006241E3"/>
    <w:rsid w:val="00753D96"/>
    <w:rsid w:val="008C3DDC"/>
    <w:rsid w:val="00A6367A"/>
    <w:rsid w:val="00B66600"/>
    <w:rsid w:val="00C036C0"/>
    <w:rsid w:val="00C27370"/>
    <w:rsid w:val="00D46222"/>
    <w:rsid w:val="00DF4264"/>
    <w:rsid w:val="00E260B3"/>
    <w:rsid w:val="00F14697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2DE9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3E2DE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E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Свободная форма"/>
    <w:rsid w:val="003E2D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3E2DE9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3E2DE9"/>
    <w:pPr>
      <w:tabs>
        <w:tab w:val="center" w:pos="4677"/>
        <w:tab w:val="right" w:pos="9355"/>
      </w:tabs>
    </w:pPr>
    <w:rPr>
      <w:sz w:val="20"/>
      <w:szCs w:val="20"/>
      <w:lang w:val="uk-UA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E2DE9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2DE9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3E2DE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E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Свободная форма"/>
    <w:rsid w:val="003E2D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3E2DE9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3E2DE9"/>
    <w:pPr>
      <w:tabs>
        <w:tab w:val="center" w:pos="4677"/>
        <w:tab w:val="right" w:pos="9355"/>
      </w:tabs>
    </w:pPr>
    <w:rPr>
      <w:sz w:val="20"/>
      <w:szCs w:val="20"/>
      <w:lang w:val="uk-UA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E2DE9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2016-10-04T10:57:00Z</cp:lastPrinted>
  <dcterms:created xsi:type="dcterms:W3CDTF">2016-12-05T09:34:00Z</dcterms:created>
  <dcterms:modified xsi:type="dcterms:W3CDTF">2016-12-05T09:34:00Z</dcterms:modified>
</cp:coreProperties>
</file>