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CA" w:rsidRPr="00DA62B9" w:rsidRDefault="000F61CA" w:rsidP="000F61CA">
      <w:pPr>
        <w:pStyle w:val="a3"/>
        <w:jc w:val="center"/>
        <w:rPr>
          <w:lang w:val="uk-UA"/>
        </w:rPr>
      </w:pPr>
      <w:r>
        <w:rPr>
          <w:noProof/>
        </w:rPr>
        <w:drawing>
          <wp:inline distT="0" distB="0" distL="0" distR="0">
            <wp:extent cx="584835" cy="797560"/>
            <wp:effectExtent l="19050" t="0" r="571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6" cstate="print"/>
                    <a:srcRect/>
                    <a:stretch>
                      <a:fillRect/>
                    </a:stretch>
                  </pic:blipFill>
                  <pic:spPr bwMode="auto">
                    <a:xfrm>
                      <a:off x="0" y="0"/>
                      <a:ext cx="584835" cy="797560"/>
                    </a:xfrm>
                    <a:prstGeom prst="rect">
                      <a:avLst/>
                    </a:prstGeom>
                    <a:noFill/>
                    <a:ln w="9525">
                      <a:noFill/>
                      <a:miter lim="800000"/>
                      <a:headEnd/>
                      <a:tailEnd/>
                    </a:ln>
                  </pic:spPr>
                </pic:pic>
              </a:graphicData>
            </a:graphic>
          </wp:inline>
        </w:drawing>
      </w:r>
    </w:p>
    <w:p w:rsidR="000F61CA" w:rsidRPr="00DA62B9" w:rsidRDefault="000F61CA" w:rsidP="000F61CA">
      <w:pPr>
        <w:pStyle w:val="a3"/>
        <w:jc w:val="center"/>
        <w:rPr>
          <w:sz w:val="27"/>
          <w:szCs w:val="27"/>
          <w:lang w:val="uk-UA"/>
        </w:rPr>
      </w:pPr>
      <w:r w:rsidRPr="00DA62B9">
        <w:rPr>
          <w:b/>
          <w:bCs/>
          <w:sz w:val="27"/>
          <w:szCs w:val="27"/>
          <w:lang w:val="uk-UA"/>
        </w:rPr>
        <w:t>ДЕРЖАВНА РЕГУЛЯТОРН</w:t>
      </w:r>
      <w:r>
        <w:rPr>
          <w:b/>
          <w:bCs/>
          <w:sz w:val="27"/>
          <w:szCs w:val="27"/>
          <w:lang w:val="uk-UA"/>
        </w:rPr>
        <w:t xml:space="preserve">А </w:t>
      </w:r>
      <w:r w:rsidRPr="00DA62B9">
        <w:rPr>
          <w:b/>
          <w:bCs/>
          <w:sz w:val="27"/>
          <w:szCs w:val="27"/>
          <w:lang w:val="uk-UA"/>
        </w:rPr>
        <w:t>СЛУЖБА УКРАЇНИ</w:t>
      </w:r>
    </w:p>
    <w:p w:rsidR="000F61CA" w:rsidRPr="00DA62B9" w:rsidRDefault="000F61CA" w:rsidP="000F61CA">
      <w:pPr>
        <w:pStyle w:val="2"/>
        <w:jc w:val="center"/>
        <w:rPr>
          <w:sz w:val="32"/>
          <w:szCs w:val="32"/>
          <w:lang w:val="uk-UA"/>
        </w:rPr>
      </w:pPr>
      <w:r w:rsidRPr="00DA62B9">
        <w:rPr>
          <w:sz w:val="32"/>
          <w:szCs w:val="32"/>
          <w:lang w:val="uk-UA"/>
        </w:rPr>
        <w:t xml:space="preserve">РІШЕННЯ </w:t>
      </w:r>
    </w:p>
    <w:p w:rsidR="000F61CA" w:rsidRPr="00A5342F" w:rsidRDefault="00144749" w:rsidP="000F61CA">
      <w:pPr>
        <w:pStyle w:val="a3"/>
        <w:ind w:firstLine="540"/>
        <w:jc w:val="center"/>
        <w:rPr>
          <w:sz w:val="28"/>
          <w:szCs w:val="28"/>
          <w:lang w:val="uk-UA"/>
        </w:rPr>
      </w:pPr>
      <w:r>
        <w:rPr>
          <w:b/>
          <w:bCs/>
          <w:sz w:val="28"/>
          <w:szCs w:val="28"/>
          <w:lang w:val="uk-UA"/>
        </w:rPr>
        <w:t>від 22</w:t>
      </w:r>
      <w:r w:rsidR="000F61CA">
        <w:rPr>
          <w:b/>
          <w:bCs/>
          <w:sz w:val="28"/>
          <w:szCs w:val="28"/>
          <w:lang w:val="uk-UA"/>
        </w:rPr>
        <w:t xml:space="preserve"> </w:t>
      </w:r>
      <w:r w:rsidR="00AE208F">
        <w:rPr>
          <w:b/>
          <w:bCs/>
          <w:sz w:val="28"/>
          <w:szCs w:val="28"/>
          <w:lang w:val="uk-UA"/>
        </w:rPr>
        <w:t>грудня</w:t>
      </w:r>
      <w:r w:rsidR="000F61CA">
        <w:rPr>
          <w:b/>
          <w:bCs/>
          <w:sz w:val="28"/>
          <w:szCs w:val="28"/>
          <w:lang w:val="uk-UA"/>
        </w:rPr>
        <w:t xml:space="preserve"> 2017 </w:t>
      </w:r>
      <w:r w:rsidR="000F61CA" w:rsidRPr="00DA62B9">
        <w:rPr>
          <w:b/>
          <w:bCs/>
          <w:sz w:val="28"/>
          <w:szCs w:val="28"/>
          <w:lang w:val="uk-UA"/>
        </w:rPr>
        <w:t>року №</w:t>
      </w:r>
      <w:r w:rsidR="000F61CA">
        <w:rPr>
          <w:b/>
          <w:bCs/>
          <w:sz w:val="28"/>
          <w:szCs w:val="28"/>
          <w:lang w:val="uk-UA"/>
        </w:rPr>
        <w:t xml:space="preserve"> 1</w:t>
      </w:r>
      <w:r w:rsidR="00336C85">
        <w:rPr>
          <w:b/>
          <w:bCs/>
          <w:sz w:val="28"/>
          <w:szCs w:val="28"/>
          <w:lang w:val="uk-UA"/>
        </w:rPr>
        <w:t>5</w:t>
      </w:r>
    </w:p>
    <w:p w:rsidR="000F61CA" w:rsidRPr="00DA62B9" w:rsidRDefault="000F61CA" w:rsidP="000F61CA">
      <w:pPr>
        <w:pStyle w:val="2"/>
        <w:spacing w:before="0" w:beforeAutospacing="0" w:after="0" w:afterAutospacing="0"/>
        <w:ind w:firstLine="540"/>
        <w:jc w:val="center"/>
        <w:rPr>
          <w:sz w:val="32"/>
          <w:szCs w:val="32"/>
          <w:lang w:val="uk-UA"/>
        </w:rPr>
      </w:pPr>
      <w:r w:rsidRPr="00DA62B9">
        <w:rPr>
          <w:sz w:val="32"/>
          <w:szCs w:val="32"/>
          <w:lang w:val="uk-UA"/>
        </w:rPr>
        <w:t xml:space="preserve">Про необхідність усунення </w:t>
      </w:r>
      <w:r w:rsidR="00336C85" w:rsidRPr="00336C85">
        <w:rPr>
          <w:sz w:val="32"/>
          <w:szCs w:val="32"/>
          <w:lang w:val="uk-UA"/>
        </w:rPr>
        <w:t xml:space="preserve">Міністерством соціальної політики України </w:t>
      </w:r>
      <w:r w:rsidRPr="00DA62B9">
        <w:rPr>
          <w:sz w:val="32"/>
          <w:szCs w:val="32"/>
          <w:lang w:val="uk-UA"/>
        </w:rPr>
        <w:t xml:space="preserve">порушень принципів державної регуляторної політики згідно з вимогами Закону </w:t>
      </w:r>
      <w:r>
        <w:rPr>
          <w:sz w:val="32"/>
          <w:szCs w:val="32"/>
          <w:lang w:val="uk-UA"/>
        </w:rPr>
        <w:t xml:space="preserve">України «Про засади </w:t>
      </w:r>
      <w:r w:rsidRPr="00DA62B9">
        <w:rPr>
          <w:sz w:val="32"/>
          <w:szCs w:val="32"/>
          <w:lang w:val="uk-UA"/>
        </w:rPr>
        <w:t>державної регуляторної політики у</w:t>
      </w:r>
      <w:r>
        <w:rPr>
          <w:sz w:val="32"/>
          <w:szCs w:val="32"/>
          <w:lang w:val="uk-UA"/>
        </w:rPr>
        <w:t xml:space="preserve"> сфері господарської діяльності»</w:t>
      </w:r>
      <w:r w:rsidRPr="00DA62B9">
        <w:rPr>
          <w:sz w:val="32"/>
          <w:szCs w:val="32"/>
          <w:lang w:val="uk-UA"/>
        </w:rPr>
        <w:t xml:space="preserve"> </w:t>
      </w:r>
    </w:p>
    <w:p w:rsidR="00586F6C" w:rsidRPr="00973DFD" w:rsidRDefault="00586F6C" w:rsidP="000F61CA">
      <w:pPr>
        <w:pStyle w:val="14"/>
        <w:ind w:right="23" w:firstLine="540"/>
        <w:contextualSpacing/>
      </w:pPr>
    </w:p>
    <w:p w:rsidR="000F61CA" w:rsidRDefault="000F61CA" w:rsidP="000F61CA">
      <w:pPr>
        <w:pStyle w:val="14"/>
        <w:ind w:right="23" w:firstLine="540"/>
        <w:contextualSpacing/>
      </w:pPr>
      <w:r w:rsidRPr="004203B2">
        <w:t>Відповідно до статті 30 Закону України від 11.09.2003</w:t>
      </w:r>
      <w:r>
        <w:t xml:space="preserve"> </w:t>
      </w:r>
      <w:r w:rsidRPr="004203B2">
        <w:t xml:space="preserve">№ 1160-IV «Про засади державної регуляторної політики у сфері господарської діяльності»                   (далі </w:t>
      </w:r>
      <w:r>
        <w:t>– Закон</w:t>
      </w:r>
      <w:r w:rsidRPr="004203B2">
        <w:t xml:space="preserve">) та на підставі </w:t>
      </w:r>
      <w:r w:rsidR="003D3419">
        <w:t>низки звернень</w:t>
      </w:r>
      <w:r w:rsidRPr="004203B2">
        <w:t xml:space="preserve"> </w:t>
      </w:r>
      <w:r>
        <w:t>суб’єкт</w:t>
      </w:r>
      <w:r w:rsidR="003D3419">
        <w:t>ів</w:t>
      </w:r>
      <w:r>
        <w:t xml:space="preserve"> господарювання</w:t>
      </w:r>
      <w:r w:rsidRPr="004203B2">
        <w:t xml:space="preserve"> Державн</w:t>
      </w:r>
      <w:r w:rsidR="00F75F3E">
        <w:t>ою</w:t>
      </w:r>
      <w:r w:rsidRPr="004203B2">
        <w:t xml:space="preserve"> регуляторн</w:t>
      </w:r>
      <w:r w:rsidR="00F75F3E">
        <w:t>ою</w:t>
      </w:r>
      <w:r w:rsidRPr="004203B2">
        <w:t xml:space="preserve"> служб</w:t>
      </w:r>
      <w:r w:rsidR="00F75F3E">
        <w:t>ою</w:t>
      </w:r>
      <w:r w:rsidRPr="004203B2">
        <w:t xml:space="preserve"> України здійсн</w:t>
      </w:r>
      <w:r w:rsidR="00F75F3E">
        <w:t>ено</w:t>
      </w:r>
      <w:r w:rsidRPr="004203B2">
        <w:t xml:space="preserve"> експертизу </w:t>
      </w:r>
      <w:r w:rsidR="003D3419" w:rsidRPr="004203B2">
        <w:t>наказу</w:t>
      </w:r>
      <w:r w:rsidR="003D3419">
        <w:t xml:space="preserve"> </w:t>
      </w:r>
      <w:r w:rsidR="005E6A43" w:rsidRPr="005E6A43">
        <w:t>Державного комітету України з промислової безпеки, охорони праці та гірничого нагляду</w:t>
      </w:r>
      <w:r w:rsidR="005E6A43">
        <w:t xml:space="preserve"> від 20.12.2006 № 16</w:t>
      </w:r>
      <w:r w:rsidR="003D3419">
        <w:t xml:space="preserve"> «</w:t>
      </w:r>
      <w:r w:rsidR="003D3419" w:rsidRPr="003D3419">
        <w:t>Про затвердження Порядку атестації фахівців, які мають право проводити технічний огляд та/або експертне обстеження устаткування підвищеної небезпеки</w:t>
      </w:r>
      <w:r w:rsidR="003D3419">
        <w:t>»</w:t>
      </w:r>
      <w:r w:rsidRPr="004203B2">
        <w:t>,</w:t>
      </w:r>
      <w:r>
        <w:t xml:space="preserve"> </w:t>
      </w:r>
      <w:r w:rsidRPr="004203B2">
        <w:t xml:space="preserve">зареєстрованого </w:t>
      </w:r>
      <w:r>
        <w:t xml:space="preserve">в </w:t>
      </w:r>
      <w:r w:rsidRPr="004203B2">
        <w:t>Міністерств</w:t>
      </w:r>
      <w:r>
        <w:t>і</w:t>
      </w:r>
      <w:r w:rsidRPr="004203B2">
        <w:t xml:space="preserve"> юстиції України </w:t>
      </w:r>
      <w:r w:rsidR="005E6A43">
        <w:t>7</w:t>
      </w:r>
      <w:r w:rsidR="003E7C06">
        <w:t xml:space="preserve"> лютого </w:t>
      </w:r>
      <w:r w:rsidRPr="00E50E64">
        <w:t>200</w:t>
      </w:r>
      <w:r w:rsidR="005E6A43">
        <w:t>7</w:t>
      </w:r>
      <w:r w:rsidR="003E7C06">
        <w:t xml:space="preserve"> р.</w:t>
      </w:r>
      <w:r w:rsidRPr="00E50E64">
        <w:t xml:space="preserve"> за</w:t>
      </w:r>
      <w:r>
        <w:t xml:space="preserve"> №</w:t>
      </w:r>
      <w:r w:rsidRPr="00E50E64">
        <w:t xml:space="preserve"> </w:t>
      </w:r>
      <w:r w:rsidR="005E6A43">
        <w:t>103</w:t>
      </w:r>
      <w:r w:rsidRPr="00E50E64">
        <w:t>/</w:t>
      </w:r>
      <w:r w:rsidR="005E6A43">
        <w:t>13370</w:t>
      </w:r>
      <w:r>
        <w:t xml:space="preserve"> </w:t>
      </w:r>
      <w:r w:rsidRPr="002537B2">
        <w:t>(далі –</w:t>
      </w:r>
      <w:r>
        <w:t xml:space="preserve"> </w:t>
      </w:r>
      <w:r w:rsidRPr="002537B2">
        <w:t>Наказ</w:t>
      </w:r>
      <w:r>
        <w:t xml:space="preserve"> № 1</w:t>
      </w:r>
      <w:r w:rsidR="003D3419">
        <w:t>6</w:t>
      </w:r>
      <w:r w:rsidRPr="002537B2">
        <w:t>)</w:t>
      </w:r>
      <w:r w:rsidR="00804A57" w:rsidRPr="00804A57">
        <w:t xml:space="preserve"> </w:t>
      </w:r>
      <w:r w:rsidR="00804A57">
        <w:t>та</w:t>
      </w:r>
      <w:r>
        <w:t xml:space="preserve"> </w:t>
      </w:r>
      <w:r w:rsidRPr="005E7315">
        <w:t>встанов</w:t>
      </w:r>
      <w:r w:rsidR="00F75F3E">
        <w:t>лено</w:t>
      </w:r>
      <w:r w:rsidRPr="004203B2">
        <w:t>.</w:t>
      </w:r>
    </w:p>
    <w:p w:rsidR="008824E8" w:rsidRDefault="00804A57" w:rsidP="008824E8">
      <w:pPr>
        <w:pStyle w:val="14"/>
        <w:ind w:right="23" w:firstLine="540"/>
        <w:contextualSpacing/>
      </w:pPr>
      <w:r>
        <w:t>Наказ № 16 прийнят</w:t>
      </w:r>
      <w:r w:rsidR="008824E8">
        <w:t xml:space="preserve">о на виконання вимог </w:t>
      </w:r>
      <w:r>
        <w:t xml:space="preserve">Порядку проведення огляду, випробування та експертного обстеження (технічного діагностування) машин, механізмів, устатковання підвищеної небезпеки, затвердженого </w:t>
      </w:r>
      <w:r w:rsidR="008824E8">
        <w:t>пос</w:t>
      </w:r>
      <w:r>
        <w:t>тановою</w:t>
      </w:r>
      <w:r w:rsidR="008824E8">
        <w:t xml:space="preserve"> Кабінету Міністрів України від 26.05.2004 № 687 (далі</w:t>
      </w:r>
      <w:r w:rsidR="003E7C06">
        <w:t xml:space="preserve"> </w:t>
      </w:r>
      <w:r w:rsidR="008824E8">
        <w:t>– Порядок), який</w:t>
      </w:r>
      <w:r>
        <w:t>,</w:t>
      </w:r>
      <w:r w:rsidR="008824E8">
        <w:t xml:space="preserve"> </w:t>
      </w:r>
      <w:r w:rsidR="00B67C78">
        <w:t xml:space="preserve">в свою чергу, </w:t>
      </w:r>
      <w:r>
        <w:t>розроблено</w:t>
      </w:r>
      <w:r w:rsidR="008824E8">
        <w:t xml:space="preserve"> відповідно до статті 21 Закону України </w:t>
      </w:r>
      <w:r w:rsidR="003E7C06">
        <w:rPr>
          <w:rFonts w:eastAsia="Calibri"/>
        </w:rPr>
        <w:t xml:space="preserve">від 14.10.1992 № </w:t>
      </w:r>
      <w:r w:rsidR="003E7C06" w:rsidRPr="002E7D5B">
        <w:rPr>
          <w:rFonts w:eastAsia="Calibri"/>
        </w:rPr>
        <w:t>269</w:t>
      </w:r>
      <w:r w:rsidR="003E7C06">
        <w:rPr>
          <w:rFonts w:eastAsia="Calibri"/>
        </w:rPr>
        <w:t>4</w:t>
      </w:r>
      <w:r w:rsidR="003E7C06" w:rsidRPr="002E7D5B">
        <w:rPr>
          <w:rFonts w:eastAsia="Calibri"/>
        </w:rPr>
        <w:t xml:space="preserve">-XII </w:t>
      </w:r>
      <w:r w:rsidR="008824E8">
        <w:t>«Про охорону праці».</w:t>
      </w:r>
    </w:p>
    <w:p w:rsidR="008824E8" w:rsidRDefault="008824E8" w:rsidP="008824E8">
      <w:pPr>
        <w:pStyle w:val="14"/>
        <w:ind w:right="23" w:firstLine="540"/>
        <w:contextualSpacing/>
      </w:pPr>
      <w:r>
        <w:t>Відповідно до п. 5 цього Порядку т</w:t>
      </w:r>
      <w:r w:rsidRPr="00D85044">
        <w:t xml:space="preserve">ехнічний огляд та/або експертне обстеження устатковання </w:t>
      </w:r>
      <w:r w:rsidRPr="0025655E">
        <w:rPr>
          <w:u w:val="single"/>
        </w:rPr>
        <w:t>проводять атестовані в установленому порядку фахівці</w:t>
      </w:r>
      <w:r w:rsidRPr="00D85044">
        <w:t xml:space="preserve"> спеціалізованої, експертної та уповноваженої організації, які безпосередньо не беруть участі у проектуванні, виготовленні, постачанні, придбанні, володінні, користуванні, монтажі, налагоджуванні, технічному обслуговуванні, ремонті, модернізації, реконструкції чи заміні цього або аналогічного устатковання.</w:t>
      </w:r>
    </w:p>
    <w:p w:rsidR="00DE750E" w:rsidRPr="00F75F3E" w:rsidRDefault="00DE750E" w:rsidP="00DE750E">
      <w:pPr>
        <w:pStyle w:val="HTM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Закон</w:t>
      </w:r>
      <w:r w:rsidR="00F75F3E">
        <w:rPr>
          <w:rFonts w:ascii="Times New Roman" w:eastAsia="Calibri" w:hAnsi="Times New Roman" w:cs="Times New Roman"/>
          <w:sz w:val="28"/>
          <w:szCs w:val="28"/>
        </w:rPr>
        <w:t xml:space="preserve"> </w:t>
      </w:r>
      <w:r>
        <w:rPr>
          <w:rFonts w:ascii="Times New Roman" w:eastAsia="Calibri" w:hAnsi="Times New Roman" w:cs="Times New Roman"/>
          <w:sz w:val="28"/>
          <w:szCs w:val="28"/>
        </w:rPr>
        <w:t>України «Про охорону праці»</w:t>
      </w:r>
      <w:r w:rsidR="00F75F3E" w:rsidRPr="00F75F3E">
        <w:rPr>
          <w:rFonts w:ascii="Times New Roman" w:hAnsi="Times New Roman" w:cs="Times New Roman"/>
          <w:color w:val="000000"/>
          <w:sz w:val="28"/>
          <w:szCs w:val="28"/>
          <w:shd w:val="clear" w:color="auto" w:fill="FFFFFF"/>
        </w:rPr>
        <w:t xml:space="preserve"> визначає основні положення щодо реалізації конституційного права працівник</w:t>
      </w:r>
      <w:r w:rsidR="006518BC">
        <w:rPr>
          <w:rFonts w:ascii="Times New Roman" w:hAnsi="Times New Roman" w:cs="Times New Roman"/>
          <w:color w:val="000000"/>
          <w:sz w:val="28"/>
          <w:szCs w:val="28"/>
          <w:shd w:val="clear" w:color="auto" w:fill="FFFFFF"/>
        </w:rPr>
        <w:t>ів на охорону їх життя і здоров</w:t>
      </w:r>
      <w:r w:rsidR="006518BC" w:rsidRPr="00F75F3E">
        <w:rPr>
          <w:rFonts w:ascii="Times New Roman" w:hAnsi="Times New Roman" w:cs="Times New Roman"/>
          <w:color w:val="000000"/>
          <w:sz w:val="28"/>
          <w:szCs w:val="28"/>
          <w:shd w:val="clear" w:color="auto" w:fill="FFFFFF"/>
        </w:rPr>
        <w:t>’я</w:t>
      </w:r>
      <w:r w:rsidR="00F75F3E" w:rsidRPr="00F75F3E">
        <w:rPr>
          <w:rFonts w:ascii="Times New Roman" w:hAnsi="Times New Roman" w:cs="Times New Roman"/>
          <w:color w:val="000000"/>
          <w:sz w:val="28"/>
          <w:szCs w:val="28"/>
          <w:shd w:val="clear" w:color="auto" w:fill="FFFFFF"/>
        </w:rPr>
        <w:t xml:space="preserve"> у процесі трудової діяльності, на належні, безпечні і здорові умови праці, регулює за участю відповідних органів державної влади відносини між </w:t>
      </w:r>
      <w:r w:rsidR="00F75F3E" w:rsidRPr="00F75F3E">
        <w:rPr>
          <w:rFonts w:ascii="Times New Roman" w:hAnsi="Times New Roman" w:cs="Times New Roman"/>
          <w:color w:val="000000"/>
          <w:sz w:val="28"/>
          <w:szCs w:val="28"/>
          <w:shd w:val="clear" w:color="auto" w:fill="FFFFFF"/>
        </w:rPr>
        <w:lastRenderedPageBreak/>
        <w:t>роботодавцем і працівником з питань безпеки, гігієни праці та виробничого середовища і встановлює єдиний порядок організації охорони праці в Україні</w:t>
      </w:r>
      <w:r w:rsidR="002D2B56">
        <w:rPr>
          <w:rFonts w:ascii="Times New Roman" w:eastAsia="Calibri" w:hAnsi="Times New Roman" w:cs="Times New Roman"/>
          <w:sz w:val="28"/>
          <w:szCs w:val="28"/>
        </w:rPr>
        <w:t>.</w:t>
      </w:r>
    </w:p>
    <w:p w:rsidR="00DE750E" w:rsidRDefault="002D2B56" w:rsidP="00DE750E">
      <w:pPr>
        <w:pStyle w:val="HTML"/>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Відповідно до статті 4 Закону України «Про охорону праці»</w:t>
      </w:r>
      <w:r w:rsidRPr="003F527F">
        <w:rPr>
          <w:rFonts w:ascii="Times New Roman" w:eastAsia="Calibri" w:hAnsi="Times New Roman" w:cs="Times New Roman"/>
          <w:sz w:val="28"/>
          <w:szCs w:val="28"/>
        </w:rPr>
        <w:t xml:space="preserve"> державна </w:t>
      </w:r>
      <w:r w:rsidR="00DE750E" w:rsidRPr="003F527F">
        <w:rPr>
          <w:rFonts w:ascii="Times New Roman" w:eastAsia="Calibri" w:hAnsi="Times New Roman" w:cs="Times New Roman"/>
          <w:sz w:val="28"/>
          <w:szCs w:val="28"/>
        </w:rPr>
        <w:t xml:space="preserve">політика в галузі охорони праці базується на </w:t>
      </w:r>
      <w:r w:rsidR="00DE750E">
        <w:rPr>
          <w:rFonts w:ascii="Times New Roman" w:eastAsia="Calibri" w:hAnsi="Times New Roman" w:cs="Times New Roman"/>
          <w:sz w:val="28"/>
          <w:szCs w:val="28"/>
        </w:rPr>
        <w:t xml:space="preserve">низці </w:t>
      </w:r>
      <w:r w:rsidR="00DE750E" w:rsidRPr="003F527F">
        <w:rPr>
          <w:rFonts w:ascii="Times New Roman" w:eastAsia="Calibri" w:hAnsi="Times New Roman" w:cs="Times New Roman"/>
          <w:sz w:val="28"/>
          <w:szCs w:val="28"/>
        </w:rPr>
        <w:t>принцип</w:t>
      </w:r>
      <w:r w:rsidR="00DE750E">
        <w:rPr>
          <w:rFonts w:ascii="Times New Roman" w:eastAsia="Calibri" w:hAnsi="Times New Roman" w:cs="Times New Roman"/>
          <w:sz w:val="28"/>
          <w:szCs w:val="28"/>
        </w:rPr>
        <w:t>ів, зокрема</w:t>
      </w:r>
      <w:r w:rsidR="003E7C06">
        <w:rPr>
          <w:rFonts w:ascii="Times New Roman" w:eastAsia="Calibri" w:hAnsi="Times New Roman" w:cs="Times New Roman"/>
          <w:sz w:val="28"/>
          <w:szCs w:val="28"/>
        </w:rPr>
        <w:t>,</w:t>
      </w:r>
      <w:r w:rsidR="00DE750E">
        <w:rPr>
          <w:rFonts w:ascii="Times New Roman" w:eastAsia="Calibri" w:hAnsi="Times New Roman" w:cs="Times New Roman"/>
          <w:sz w:val="28"/>
          <w:szCs w:val="28"/>
        </w:rPr>
        <w:t xml:space="preserve"> на принципі </w:t>
      </w:r>
      <w:r w:rsidR="00DE750E" w:rsidRPr="003F527F">
        <w:rPr>
          <w:rFonts w:ascii="Times New Roman" w:eastAsia="Calibri" w:hAnsi="Times New Roman" w:cs="Times New Roman"/>
          <w:sz w:val="28"/>
          <w:szCs w:val="28"/>
        </w:rPr>
        <w:t xml:space="preserve">інформування населення, </w:t>
      </w:r>
      <w:r w:rsidR="00DE750E" w:rsidRPr="002F66EA">
        <w:rPr>
          <w:rFonts w:ascii="Times New Roman" w:eastAsia="Calibri" w:hAnsi="Times New Roman" w:cs="Times New Roman"/>
          <w:sz w:val="28"/>
          <w:szCs w:val="28"/>
          <w:u w:val="single"/>
        </w:rPr>
        <w:t>проведення навчання, професійної підготовки і підвищення кваліфікації працівників з питань охорони праці</w:t>
      </w:r>
      <w:r w:rsidR="00DE750E">
        <w:rPr>
          <w:rFonts w:ascii="Times New Roman" w:eastAsia="Calibri" w:hAnsi="Times New Roman" w:cs="Times New Roman"/>
          <w:sz w:val="28"/>
          <w:szCs w:val="28"/>
        </w:rPr>
        <w:t>.</w:t>
      </w:r>
    </w:p>
    <w:p w:rsidR="00DE750E" w:rsidRDefault="00D80EE5" w:rsidP="00DE750E">
      <w:pPr>
        <w:pStyle w:val="HTML"/>
        <w:ind w:firstLine="567"/>
        <w:jc w:val="both"/>
        <w:rPr>
          <w:rFonts w:ascii="Times New Roman" w:eastAsia="Calibri" w:hAnsi="Times New Roman" w:cs="Times New Roman"/>
          <w:sz w:val="28"/>
          <w:szCs w:val="28"/>
        </w:rPr>
      </w:pPr>
      <w:r w:rsidRPr="00065939">
        <w:rPr>
          <w:rFonts w:ascii="Times New Roman" w:eastAsia="Calibri" w:hAnsi="Times New Roman" w:cs="Times New Roman"/>
          <w:sz w:val="28"/>
          <w:szCs w:val="28"/>
        </w:rPr>
        <w:t>Статтею 18 Закону України «Про охорону праці»</w:t>
      </w:r>
      <w:r>
        <w:rPr>
          <w:rFonts w:ascii="Times New Roman" w:eastAsia="Calibri" w:hAnsi="Times New Roman" w:cs="Times New Roman"/>
          <w:sz w:val="28"/>
          <w:szCs w:val="28"/>
        </w:rPr>
        <w:t xml:space="preserve"> </w:t>
      </w:r>
      <w:r w:rsidR="00DE750E" w:rsidRPr="00065939">
        <w:rPr>
          <w:rFonts w:ascii="Times New Roman" w:eastAsia="Calibri" w:hAnsi="Times New Roman" w:cs="Times New Roman"/>
          <w:sz w:val="28"/>
          <w:szCs w:val="28"/>
        </w:rPr>
        <w:t>визначен</w:t>
      </w:r>
      <w:r>
        <w:rPr>
          <w:rFonts w:ascii="Times New Roman" w:eastAsia="Calibri" w:hAnsi="Times New Roman" w:cs="Times New Roman"/>
          <w:sz w:val="28"/>
          <w:szCs w:val="28"/>
        </w:rPr>
        <w:t>о, що</w:t>
      </w:r>
      <w:r w:rsidR="00DE750E" w:rsidRPr="00065939">
        <w:rPr>
          <w:rFonts w:ascii="Times New Roman" w:eastAsia="Calibri" w:hAnsi="Times New Roman" w:cs="Times New Roman"/>
          <w:sz w:val="28"/>
          <w:szCs w:val="28"/>
        </w:rPr>
        <w:t xml:space="preserve"> </w:t>
      </w:r>
      <w:r w:rsidRPr="004D2F34">
        <w:rPr>
          <w:rFonts w:ascii="Times New Roman" w:eastAsia="Calibri" w:hAnsi="Times New Roman" w:cs="Times New Roman"/>
          <w:sz w:val="28"/>
          <w:szCs w:val="28"/>
        </w:rPr>
        <w:t xml:space="preserve">порядок </w:t>
      </w:r>
      <w:r w:rsidR="004D2F34" w:rsidRPr="004D2F34">
        <w:rPr>
          <w:rFonts w:ascii="Times New Roman" w:eastAsia="Calibri" w:hAnsi="Times New Roman" w:cs="Times New Roman"/>
          <w:sz w:val="28"/>
          <w:szCs w:val="28"/>
        </w:rPr>
        <w:t>проведення навчання та перевірки знань посадових осіб з питань охорони праці визначається типовим положенням, що затверджується центральним органом виконавчої влади, що забезпечує формування державної політики у сфері охорони праці.</w:t>
      </w:r>
    </w:p>
    <w:p w:rsidR="00F541AA" w:rsidRDefault="00F541AA" w:rsidP="00DE750E">
      <w:pPr>
        <w:pStyle w:val="HTML"/>
        <w:ind w:firstLine="567"/>
        <w:jc w:val="both"/>
        <w:rPr>
          <w:rFonts w:ascii="Times New Roman" w:eastAsia="Calibri" w:hAnsi="Times New Roman" w:cs="Times New Roman"/>
          <w:sz w:val="28"/>
          <w:szCs w:val="28"/>
        </w:rPr>
      </w:pPr>
      <w:r w:rsidRPr="00F541AA">
        <w:rPr>
          <w:rFonts w:ascii="Times New Roman" w:eastAsia="Calibri" w:hAnsi="Times New Roman" w:cs="Times New Roman"/>
          <w:sz w:val="28"/>
          <w:szCs w:val="28"/>
        </w:rPr>
        <w:t>Вивчення основ охорони праці, а також підготовка та підвищення кваліфікації спеціалістів з охорони праці з урахуванням особливостей виробництва відповідних об'єктів економіки забезпечуються центральним органом виконавчої влади, що забезпечує формування державної політики у сфері освіти і науки, в усіх навчальних закладах за програмами, погодженими із центральним органом виконавчої влади, що реалізує державну політику у сфері охорони праці.</w:t>
      </w:r>
    </w:p>
    <w:p w:rsidR="002E7D5B" w:rsidRDefault="00DE750E" w:rsidP="00DE750E">
      <w:pPr>
        <w:pStyle w:val="14"/>
        <w:ind w:right="23" w:firstLine="540"/>
        <w:contextualSpacing/>
      </w:pPr>
      <w:r>
        <w:t>В</w:t>
      </w:r>
      <w:r w:rsidR="00804A57">
        <w:t>одночас</w:t>
      </w:r>
      <w:r>
        <w:t>,</w:t>
      </w:r>
      <w:r w:rsidR="002E7D5B" w:rsidRPr="002E7D5B">
        <w:t xml:space="preserve"> Закон України від 12.01.2012 № 4312</w:t>
      </w:r>
      <w:r w:rsidR="003E7C06">
        <w:t>-</w:t>
      </w:r>
      <w:r w:rsidR="003E7C06">
        <w:rPr>
          <w:lang w:val="en-US"/>
        </w:rPr>
        <w:t>VI</w:t>
      </w:r>
      <w:r w:rsidR="002E7D5B" w:rsidRPr="002E7D5B">
        <w:t xml:space="preserve"> «Про професійний розвиток працівників» визначає правові, організаційні та фінансові засади функціонування системи професійного розвитку працівників</w:t>
      </w:r>
      <w:r w:rsidR="002E7D5B">
        <w:t>.</w:t>
      </w:r>
    </w:p>
    <w:p w:rsidR="00DE750E" w:rsidRDefault="002E7D5B" w:rsidP="00DE750E">
      <w:pPr>
        <w:pStyle w:val="14"/>
        <w:ind w:right="23" w:firstLine="540"/>
        <w:contextualSpacing/>
      </w:pPr>
      <w:r>
        <w:t xml:space="preserve">Згідно </w:t>
      </w:r>
      <w:r w:rsidR="003E7C06">
        <w:t xml:space="preserve">з </w:t>
      </w:r>
      <w:r w:rsidR="00DE750E">
        <w:t>частин</w:t>
      </w:r>
      <w:r w:rsidR="003E7C06">
        <w:t>ою</w:t>
      </w:r>
      <w:r w:rsidR="00DE750E">
        <w:t xml:space="preserve"> четверто</w:t>
      </w:r>
      <w:r w:rsidR="003E7C06">
        <w:t>ю</w:t>
      </w:r>
      <w:r w:rsidR="00DE750E">
        <w:t xml:space="preserve"> статті 6 </w:t>
      </w:r>
      <w:r w:rsidR="00D80EE5" w:rsidRPr="00631C3E">
        <w:t>Закон</w:t>
      </w:r>
      <w:r w:rsidR="00D80EE5">
        <w:t>у України</w:t>
      </w:r>
      <w:r w:rsidR="00D80EE5" w:rsidRPr="00631C3E">
        <w:t xml:space="preserve"> </w:t>
      </w:r>
      <w:r w:rsidR="00D80EE5">
        <w:t xml:space="preserve">«Про професійний розвиток працівників» </w:t>
      </w:r>
      <w:r w:rsidR="00DE750E">
        <w:t>п</w:t>
      </w:r>
      <w:r w:rsidR="00DE750E" w:rsidRPr="0025655E">
        <w:t xml:space="preserve">рофесійне навчання працівників організовується в </w:t>
      </w:r>
      <w:r w:rsidR="00DE750E" w:rsidRPr="000913CD">
        <w:rPr>
          <w:u w:val="single"/>
        </w:rPr>
        <w:t>порядку, визначеному центральним органом виконавчої влади у сфері соціальної політики за погодженням з центральним органом виконавчої влади у сфері освіти і науки, молоді та спорту, іншими заінтересованими центральними органами виконавчої влади, всеукраїнськими об’єднаннями</w:t>
      </w:r>
      <w:r w:rsidR="00DE750E" w:rsidRPr="0025655E">
        <w:t xml:space="preserve"> професі</w:t>
      </w:r>
      <w:r w:rsidR="00DE750E">
        <w:t>йних спілок, всеукраїнськими об</w:t>
      </w:r>
      <w:r w:rsidR="00DE750E" w:rsidRPr="0025655E">
        <w:t>’єднаннями організацій роботодавців</w:t>
      </w:r>
      <w:r w:rsidR="00DE750E" w:rsidRPr="00631C3E">
        <w:t>.</w:t>
      </w:r>
    </w:p>
    <w:p w:rsidR="00DE750E" w:rsidRDefault="00DE750E" w:rsidP="00EA3A6D">
      <w:pPr>
        <w:pStyle w:val="14"/>
        <w:ind w:right="23" w:firstLine="540"/>
        <w:contextualSpacing/>
      </w:pPr>
      <w:r w:rsidRPr="0025655E">
        <w:t>Положення про професійне навчанн</w:t>
      </w:r>
      <w:r>
        <w:t xml:space="preserve">я працівників на виробництві, </w:t>
      </w:r>
      <w:r w:rsidR="00C10517" w:rsidRPr="00DB5585">
        <w:t xml:space="preserve">яке </w:t>
      </w:r>
      <w:r>
        <w:t>затверджен</w:t>
      </w:r>
      <w:r w:rsidR="00D80EE5">
        <w:t>о</w:t>
      </w:r>
      <w:r>
        <w:t xml:space="preserve"> спільним наказом Міністерства праці та соціальної політики України та Міністерства освіти і науки Ук</w:t>
      </w:r>
      <w:r w:rsidR="00804A57">
        <w:t>раїни від 26.03.2001 № 127/151</w:t>
      </w:r>
      <w:r w:rsidR="00C10517">
        <w:t xml:space="preserve"> </w:t>
      </w:r>
      <w:r w:rsidR="00BC4482">
        <w:t>встановлює</w:t>
      </w:r>
      <w:r>
        <w:t xml:space="preserve"> </w:t>
      </w:r>
      <w:r w:rsidR="00D80EE5">
        <w:t xml:space="preserve">основні вимоги до </w:t>
      </w:r>
      <w:r w:rsidR="00EA3A6D">
        <w:t>первинної професійної підготовки робітників; перепідготовки робітників; підвищення кваліфікації робітників; перепідготовки, спеціалізації, підвищення кваліфікації, стажування керівників, професіоналів та фахівців.</w:t>
      </w:r>
    </w:p>
    <w:p w:rsidR="00BC4482" w:rsidRDefault="002E7D5B" w:rsidP="003238C9">
      <w:pPr>
        <w:pStyle w:val="14"/>
        <w:ind w:right="23" w:firstLine="540"/>
        <w:contextualSpacing/>
      </w:pPr>
      <w:r>
        <w:t xml:space="preserve">Законом </w:t>
      </w:r>
      <w:r w:rsidRPr="002E7D5B">
        <w:t>України «Про професійний розвиток працівників»</w:t>
      </w:r>
      <w:r>
        <w:t xml:space="preserve"> </w:t>
      </w:r>
      <w:r w:rsidR="00C10517">
        <w:t xml:space="preserve">також </w:t>
      </w:r>
      <w:r>
        <w:t xml:space="preserve">визначено, що роботодавці можуть здійснювати формальне і неформальне професійне навчання працівників. Формальне професійне навчання працівників робітничим професіям включає первинну професійну підготовку, перепідготовку та підвищення кваліфікації робітників і може здійснюватися безпосередньо у роботодавця або організовуватися на договірних умовах у професійно-технічних навчальних закладах, на підприємствах, в установах, організаціях, а працівників, які за класифікацією професій належать до категорій керівників, професіоналів і фахівців, - перепідготовку, стажування, спеціалізацію та підвищення кваліфікації і може організовуватися на </w:t>
      </w:r>
      <w:r>
        <w:lastRenderedPageBreak/>
        <w:t>договірних умовах у вищих навчальних закладах.</w:t>
      </w:r>
    </w:p>
    <w:p w:rsidR="002E7D5B" w:rsidRDefault="002E7D5B" w:rsidP="002E7D5B">
      <w:pPr>
        <w:pStyle w:val="14"/>
        <w:ind w:right="23" w:firstLine="540"/>
        <w:contextualSpacing/>
      </w:pPr>
      <w:r>
        <w:t>За результатами формального професійного навчання працівникові видається документ про освіту встановленого зразка.</w:t>
      </w:r>
    </w:p>
    <w:p w:rsidR="002E7D5B" w:rsidRDefault="002E7D5B" w:rsidP="002E7D5B">
      <w:pPr>
        <w:pStyle w:val="14"/>
        <w:ind w:right="23" w:firstLine="540"/>
        <w:contextualSpacing/>
      </w:pPr>
      <w:r>
        <w:t>Неформальне професійне навчання працівників здійснюється за їх згодою безпосередньо у роботодавця згідно з рішенням роботодавця за рахунок його коштів з урахуванням потреб власної господарської чи іншої діяльності.</w:t>
      </w:r>
    </w:p>
    <w:p w:rsidR="00DE750E" w:rsidRDefault="00DE750E" w:rsidP="00DE750E">
      <w:pPr>
        <w:pStyle w:val="14"/>
        <w:tabs>
          <w:tab w:val="clear" w:pos="5655"/>
          <w:tab w:val="clear" w:pos="8787"/>
          <w:tab w:val="right" w:pos="13467"/>
        </w:tabs>
        <w:ind w:right="23" w:firstLine="567"/>
        <w:contextualSpacing/>
      </w:pPr>
      <w:r>
        <w:t xml:space="preserve">Відповідно до статті 8 Закону України «Про професійний розвиток працівників» </w:t>
      </w:r>
      <w:r w:rsidRPr="00AD28F2">
        <w:t>професійне навчання працівників робітничим професіям здійснюється за навчальними планами і програмами, розробленими професійно-технічними навчальними закладами або підприємствами, установами, організаціями на підставі типових навчальних планів і програм.</w:t>
      </w:r>
    </w:p>
    <w:p w:rsidR="00C10517" w:rsidRDefault="00DE750E" w:rsidP="00C10517">
      <w:pPr>
        <w:pStyle w:val="14"/>
        <w:tabs>
          <w:tab w:val="clear" w:pos="5655"/>
          <w:tab w:val="clear" w:pos="8787"/>
          <w:tab w:val="right" w:pos="13467"/>
        </w:tabs>
        <w:ind w:right="23" w:firstLine="567"/>
        <w:contextualSpacing/>
      </w:pPr>
      <w:r w:rsidRPr="00AD28F2">
        <w:t xml:space="preserve">У разі підготовки, перепідготовки та підвищення кваліфікації працівників для виконання робіт з підвищеною небезпекою кількість годин для вивчення предмета </w:t>
      </w:r>
      <w:r>
        <w:t>«</w:t>
      </w:r>
      <w:r w:rsidRPr="00AD28F2">
        <w:t>Охорона праці</w:t>
      </w:r>
      <w:r>
        <w:t>»</w:t>
      </w:r>
      <w:r w:rsidRPr="00AD28F2">
        <w:t xml:space="preserve"> визначається з урахуванням специфіки професії, умов праці та строку навчання, але не менш як кількість, що передбачена типовим положенням про порядок проведення навчання і перевірки знань з питань охорони праці, затвердженим центральним органом виконавчої влади з нагляду за охороною праці.</w:t>
      </w:r>
    </w:p>
    <w:p w:rsidR="001170B4" w:rsidRDefault="001170B4" w:rsidP="001170B4">
      <w:pPr>
        <w:pStyle w:val="HTML"/>
        <w:ind w:firstLine="567"/>
        <w:jc w:val="both"/>
        <w:rPr>
          <w:rFonts w:ascii="Times New Roman" w:hAnsi="Times New Roman" w:cs="Times New Roman"/>
          <w:sz w:val="28"/>
          <w:szCs w:val="28"/>
        </w:rPr>
      </w:pPr>
      <w:r>
        <w:rPr>
          <w:rFonts w:ascii="Times New Roman" w:hAnsi="Times New Roman" w:cs="Times New Roman"/>
          <w:sz w:val="28"/>
          <w:szCs w:val="28"/>
        </w:rPr>
        <w:t xml:space="preserve">Разом з цим, </w:t>
      </w:r>
      <w:r w:rsidRPr="00783FD2">
        <w:rPr>
          <w:rFonts w:ascii="Times New Roman" w:hAnsi="Times New Roman" w:cs="Times New Roman"/>
          <w:sz w:val="28"/>
          <w:szCs w:val="28"/>
        </w:rPr>
        <w:t>відповідно до Зак</w:t>
      </w:r>
      <w:r w:rsidRPr="009455E5">
        <w:rPr>
          <w:rFonts w:ascii="Times New Roman" w:hAnsi="Times New Roman" w:cs="Times New Roman"/>
          <w:sz w:val="28"/>
          <w:szCs w:val="28"/>
        </w:rPr>
        <w:t xml:space="preserve">ону України «Про професійний розвиток працівників» </w:t>
      </w:r>
      <w:r w:rsidRPr="003942DC">
        <w:rPr>
          <w:rFonts w:ascii="Times New Roman" w:hAnsi="Times New Roman" w:cs="Times New Roman"/>
          <w:sz w:val="28"/>
          <w:szCs w:val="28"/>
          <w:u w:val="single"/>
        </w:rPr>
        <w:t>атестація працівників</w:t>
      </w:r>
      <w:r w:rsidRPr="003942DC">
        <w:rPr>
          <w:rFonts w:ascii="Times New Roman" w:hAnsi="Times New Roman" w:cs="Times New Roman"/>
          <w:sz w:val="28"/>
          <w:szCs w:val="28"/>
        </w:rPr>
        <w:t xml:space="preserve"> - процедура оцінки професійного рівня працівників кваліфіка</w:t>
      </w:r>
      <w:r>
        <w:rPr>
          <w:rFonts w:ascii="Times New Roman" w:hAnsi="Times New Roman" w:cs="Times New Roman"/>
          <w:sz w:val="28"/>
          <w:szCs w:val="28"/>
        </w:rPr>
        <w:t>ційним вимогам і посадовим обов</w:t>
      </w:r>
      <w:r w:rsidRPr="003942DC">
        <w:rPr>
          <w:rFonts w:ascii="Times New Roman" w:hAnsi="Times New Roman" w:cs="Times New Roman"/>
          <w:sz w:val="28"/>
          <w:szCs w:val="28"/>
        </w:rPr>
        <w:t>’язкам, проведення оцінки їх професійного рівня</w:t>
      </w:r>
      <w:r>
        <w:rPr>
          <w:rFonts w:ascii="Times New Roman" w:hAnsi="Times New Roman" w:cs="Times New Roman"/>
          <w:sz w:val="28"/>
          <w:szCs w:val="28"/>
        </w:rPr>
        <w:t xml:space="preserve">, а </w:t>
      </w:r>
      <w:r w:rsidRPr="001170B4">
        <w:rPr>
          <w:rFonts w:ascii="Times New Roman" w:hAnsi="Times New Roman" w:cs="Times New Roman"/>
          <w:sz w:val="28"/>
          <w:szCs w:val="28"/>
          <w:u w:val="single"/>
        </w:rPr>
        <w:t>підтвердження кваліфікації працівників</w:t>
      </w:r>
      <w:r w:rsidRPr="003942DC">
        <w:rPr>
          <w:rFonts w:ascii="Times New Roman" w:hAnsi="Times New Roman" w:cs="Times New Roman"/>
          <w:sz w:val="28"/>
          <w:szCs w:val="28"/>
        </w:rPr>
        <w:t xml:space="preserve"> - процедура визначення відповідності професійних знань, умінь і навичок працівників установленим законода</w:t>
      </w:r>
      <w:r>
        <w:rPr>
          <w:rFonts w:ascii="Times New Roman" w:hAnsi="Times New Roman" w:cs="Times New Roman"/>
          <w:sz w:val="28"/>
          <w:szCs w:val="28"/>
        </w:rPr>
        <w:t>вством вимогам і посадовим обов</w:t>
      </w:r>
      <w:r w:rsidRPr="003942DC">
        <w:rPr>
          <w:rFonts w:ascii="Times New Roman" w:hAnsi="Times New Roman" w:cs="Times New Roman"/>
          <w:sz w:val="28"/>
          <w:szCs w:val="28"/>
        </w:rPr>
        <w:t>’язкам, проведення оцінки їх професійного рівня шляхом атестаці</w:t>
      </w:r>
      <w:r>
        <w:rPr>
          <w:rFonts w:ascii="Times New Roman" w:hAnsi="Times New Roman" w:cs="Times New Roman"/>
          <w:sz w:val="28"/>
          <w:szCs w:val="28"/>
        </w:rPr>
        <w:t>ї. Порядок атестації працівників, визначено розділом ІІІ</w:t>
      </w:r>
      <w:r w:rsidRPr="004F5A3D">
        <w:rPr>
          <w:rFonts w:ascii="Times New Roman" w:hAnsi="Times New Roman" w:cs="Times New Roman"/>
          <w:sz w:val="28"/>
          <w:szCs w:val="28"/>
        </w:rPr>
        <w:t xml:space="preserve"> </w:t>
      </w:r>
      <w:r w:rsidRPr="00783FD2">
        <w:rPr>
          <w:rFonts w:ascii="Times New Roman" w:hAnsi="Times New Roman" w:cs="Times New Roman"/>
          <w:sz w:val="28"/>
          <w:szCs w:val="28"/>
        </w:rPr>
        <w:t>Зак</w:t>
      </w:r>
      <w:r w:rsidRPr="009455E5">
        <w:rPr>
          <w:rFonts w:ascii="Times New Roman" w:hAnsi="Times New Roman" w:cs="Times New Roman"/>
          <w:sz w:val="28"/>
          <w:szCs w:val="28"/>
        </w:rPr>
        <w:t>ону України «Про професійний розвиток працівників»</w:t>
      </w:r>
      <w:r>
        <w:rPr>
          <w:rFonts w:ascii="Times New Roman" w:hAnsi="Times New Roman" w:cs="Times New Roman"/>
          <w:sz w:val="28"/>
          <w:szCs w:val="28"/>
        </w:rPr>
        <w:t>.</w:t>
      </w:r>
    </w:p>
    <w:p w:rsidR="00E509C0" w:rsidRPr="00E509C0" w:rsidRDefault="00804A57" w:rsidP="00804A57">
      <w:pPr>
        <w:pStyle w:val="a3"/>
        <w:shd w:val="clear" w:color="auto" w:fill="FFFFFF"/>
        <w:spacing w:before="0" w:beforeAutospacing="0" w:after="0" w:afterAutospacing="0"/>
        <w:ind w:firstLine="567"/>
        <w:jc w:val="both"/>
        <w:rPr>
          <w:sz w:val="28"/>
          <w:szCs w:val="28"/>
          <w:lang w:val="uk-UA"/>
        </w:rPr>
      </w:pPr>
      <w:r>
        <w:rPr>
          <w:sz w:val="28"/>
          <w:szCs w:val="28"/>
          <w:lang w:val="uk-UA"/>
        </w:rPr>
        <w:t xml:space="preserve">У </w:t>
      </w:r>
      <w:r w:rsidR="00C10517" w:rsidRPr="00E509C0">
        <w:rPr>
          <w:sz w:val="28"/>
          <w:szCs w:val="28"/>
          <w:lang w:val="uk-UA"/>
        </w:rPr>
        <w:t xml:space="preserve">свою чергу, відповідно до Класифікатора професій України </w:t>
      </w:r>
      <w:r w:rsidR="00A868F7" w:rsidRPr="00E509C0">
        <w:rPr>
          <w:sz w:val="28"/>
          <w:szCs w:val="28"/>
          <w:lang w:val="uk-UA"/>
        </w:rPr>
        <w:t xml:space="preserve">                            </w:t>
      </w:r>
      <w:r w:rsidR="00C10517" w:rsidRPr="00E509C0">
        <w:rPr>
          <w:sz w:val="28"/>
          <w:szCs w:val="28"/>
          <w:lang w:val="uk-UA"/>
        </w:rPr>
        <w:t xml:space="preserve">ДК 003:2010 </w:t>
      </w:r>
      <w:r w:rsidR="00E509C0" w:rsidRPr="000913CD">
        <w:rPr>
          <w:sz w:val="28"/>
          <w:szCs w:val="28"/>
          <w:u w:val="single"/>
          <w:lang w:val="uk-UA"/>
        </w:rPr>
        <w:t xml:space="preserve">професія </w:t>
      </w:r>
      <w:r w:rsidR="003E7C06">
        <w:rPr>
          <w:sz w:val="28"/>
          <w:szCs w:val="28"/>
          <w:u w:val="single"/>
          <w:lang w:val="uk-UA"/>
        </w:rPr>
        <w:t>«</w:t>
      </w:r>
      <w:r w:rsidR="00A868F7" w:rsidRPr="000913CD">
        <w:rPr>
          <w:sz w:val="28"/>
          <w:szCs w:val="28"/>
          <w:u w:val="single"/>
          <w:shd w:val="clear" w:color="auto" w:fill="FFFFFF"/>
          <w:lang w:val="uk-UA"/>
        </w:rPr>
        <w:t>експерт технічний з промислової безпеки</w:t>
      </w:r>
      <w:r w:rsidR="003E7C06">
        <w:rPr>
          <w:sz w:val="28"/>
          <w:szCs w:val="28"/>
          <w:u w:val="single"/>
          <w:shd w:val="clear" w:color="auto" w:fill="FFFFFF"/>
          <w:lang w:val="uk-UA"/>
        </w:rPr>
        <w:t>»</w:t>
      </w:r>
      <w:r w:rsidR="00E509C0" w:rsidRPr="00E509C0">
        <w:rPr>
          <w:sz w:val="28"/>
          <w:szCs w:val="28"/>
          <w:shd w:val="clear" w:color="auto" w:fill="FFFFFF"/>
          <w:lang w:val="uk-UA"/>
        </w:rPr>
        <w:t xml:space="preserve"> (</w:t>
      </w:r>
      <w:r w:rsidR="00A868F7" w:rsidRPr="00E509C0">
        <w:rPr>
          <w:sz w:val="28"/>
          <w:szCs w:val="28"/>
          <w:shd w:val="clear" w:color="auto" w:fill="FFFFFF"/>
          <w:lang w:val="uk-UA"/>
        </w:rPr>
        <w:t>код 2449.2</w:t>
      </w:r>
      <w:r w:rsidR="00E509C0" w:rsidRPr="00E509C0">
        <w:rPr>
          <w:sz w:val="28"/>
          <w:szCs w:val="28"/>
          <w:shd w:val="clear" w:color="auto" w:fill="FFFFFF"/>
          <w:lang w:val="uk-UA"/>
        </w:rPr>
        <w:t xml:space="preserve">) </w:t>
      </w:r>
      <w:r w:rsidR="00DB41E7">
        <w:rPr>
          <w:sz w:val="28"/>
          <w:szCs w:val="28"/>
          <w:shd w:val="clear" w:color="auto" w:fill="FFFFFF"/>
          <w:lang w:val="uk-UA"/>
        </w:rPr>
        <w:t>включена</w:t>
      </w:r>
      <w:r w:rsidR="00D14ADD">
        <w:rPr>
          <w:sz w:val="28"/>
          <w:szCs w:val="28"/>
          <w:shd w:val="clear" w:color="auto" w:fill="FFFFFF"/>
          <w:lang w:val="uk-UA"/>
        </w:rPr>
        <w:t xml:space="preserve"> до </w:t>
      </w:r>
      <w:r w:rsidR="00D14ADD" w:rsidRPr="000913CD">
        <w:rPr>
          <w:sz w:val="28"/>
          <w:szCs w:val="28"/>
          <w:u w:val="single"/>
          <w:shd w:val="clear" w:color="auto" w:fill="FFFFFF"/>
          <w:lang w:val="uk-UA"/>
        </w:rPr>
        <w:t>розділу професіонали</w:t>
      </w:r>
      <w:r w:rsidR="00D14ADD">
        <w:rPr>
          <w:sz w:val="28"/>
          <w:szCs w:val="28"/>
          <w:shd w:val="clear" w:color="auto" w:fill="FFFFFF"/>
          <w:lang w:val="uk-UA"/>
        </w:rPr>
        <w:t xml:space="preserve">. </w:t>
      </w:r>
      <w:r w:rsidR="00E509C0" w:rsidRPr="00E509C0">
        <w:rPr>
          <w:sz w:val="28"/>
          <w:szCs w:val="28"/>
          <w:lang w:val="uk-UA"/>
        </w:rPr>
        <w:t>До цього розділу належать професії, що вимагають від працівника (з урахуванням кола та складності певних професійних завдань</w:t>
      </w:r>
      <w:r w:rsidR="00D14ADD">
        <w:rPr>
          <w:sz w:val="28"/>
          <w:szCs w:val="28"/>
          <w:lang w:val="uk-UA"/>
        </w:rPr>
        <w:t xml:space="preserve"> та обов’язків) кваліфікації за</w:t>
      </w:r>
      <w:r w:rsidR="00E509C0" w:rsidRPr="00E509C0">
        <w:rPr>
          <w:sz w:val="28"/>
          <w:szCs w:val="28"/>
          <w:lang w:val="uk-UA"/>
        </w:rPr>
        <w:t xml:space="preserve"> дипломом про повну вищу освіту, що відповідає рівню спеціаліста, маг</w:t>
      </w:r>
      <w:r w:rsidR="00D14ADD">
        <w:rPr>
          <w:sz w:val="28"/>
          <w:szCs w:val="28"/>
          <w:lang w:val="uk-UA"/>
        </w:rPr>
        <w:t>істра.</w:t>
      </w:r>
    </w:p>
    <w:p w:rsidR="000913CD" w:rsidRDefault="00370079" w:rsidP="00370079">
      <w:pPr>
        <w:pStyle w:val="14"/>
        <w:ind w:right="23" w:firstLine="540"/>
        <w:contextualSpacing/>
      </w:pPr>
      <w:r>
        <w:t>З огляду на вищевикладене</w:t>
      </w:r>
      <w:r w:rsidR="00DE750E">
        <w:t>,</w:t>
      </w:r>
      <w:r>
        <w:t xml:space="preserve"> на сьогоднішній день</w:t>
      </w:r>
      <w:r w:rsidR="00DE750E">
        <w:t xml:space="preserve"> </w:t>
      </w:r>
      <w:r w:rsidR="00312CCD">
        <w:t>Наказ № 16</w:t>
      </w:r>
      <w:r>
        <w:t>, яким</w:t>
      </w:r>
      <w:r w:rsidR="00312CCD">
        <w:t xml:space="preserve"> </w:t>
      </w:r>
      <w:r w:rsidR="003E7C06">
        <w:t>визначено</w:t>
      </w:r>
      <w:r w:rsidR="00312CCD" w:rsidRPr="00312CCD">
        <w:t xml:space="preserve"> порядок атестації фахівців, які мають право проводити технічний огляд та/або експертне обстеження устаткування підвищеної небезпеки</w:t>
      </w:r>
      <w:r w:rsidR="00E55A01">
        <w:t xml:space="preserve"> (далі – Порядок атестації)</w:t>
      </w:r>
      <w:r w:rsidR="00312CCD">
        <w:t xml:space="preserve"> і</w:t>
      </w:r>
      <w:r w:rsidR="00E55A01">
        <w:t xml:space="preserve"> положення якого</w:t>
      </w:r>
      <w:r w:rsidR="00312CCD">
        <w:t xml:space="preserve"> поширю</w:t>
      </w:r>
      <w:r w:rsidR="00E55A01">
        <w:t>ю</w:t>
      </w:r>
      <w:r w:rsidR="00312CCD">
        <w:t xml:space="preserve">ться на </w:t>
      </w:r>
      <w:r w:rsidR="00E55A01">
        <w:t xml:space="preserve">діяльність </w:t>
      </w:r>
      <w:r w:rsidR="00312CCD">
        <w:t>суб</w:t>
      </w:r>
      <w:r w:rsidR="00312CCD" w:rsidRPr="00312CCD">
        <w:t>’єктів господарювання незалежно від форм власності, виду діяльності та господарювання</w:t>
      </w:r>
      <w:r w:rsidR="000913CD">
        <w:t xml:space="preserve">, </w:t>
      </w:r>
      <w:r>
        <w:t>не узгоджується з</w:t>
      </w:r>
      <w:r w:rsidR="000913CD">
        <w:t xml:space="preserve"> вимогам</w:t>
      </w:r>
      <w:r>
        <w:t>и</w:t>
      </w:r>
      <w:r w:rsidR="000913CD">
        <w:t xml:space="preserve"> чинного законодавства</w:t>
      </w:r>
      <w:r w:rsidR="00E55A01">
        <w:t>.</w:t>
      </w:r>
      <w:r w:rsidR="000913CD">
        <w:t xml:space="preserve"> </w:t>
      </w:r>
    </w:p>
    <w:p w:rsidR="009A0B24" w:rsidRDefault="00E55A01" w:rsidP="009A0B24">
      <w:pPr>
        <w:pStyle w:val="14"/>
        <w:ind w:right="23" w:firstLine="540"/>
        <w:contextualSpacing/>
      </w:pPr>
      <w:r>
        <w:t xml:space="preserve">Крім того, </w:t>
      </w:r>
      <w:r w:rsidR="009A0B24">
        <w:t>Порядк</w:t>
      </w:r>
      <w:r w:rsidR="00370079">
        <w:t>ом</w:t>
      </w:r>
      <w:r w:rsidR="000913CD">
        <w:t xml:space="preserve"> атестації </w:t>
      </w:r>
      <w:r w:rsidR="00D412AE">
        <w:t>визначено</w:t>
      </w:r>
      <w:r w:rsidR="00370079">
        <w:t xml:space="preserve"> </w:t>
      </w:r>
      <w:r w:rsidR="000913CD">
        <w:t xml:space="preserve">такі </w:t>
      </w:r>
      <w:r w:rsidR="00370079">
        <w:t>терміни</w:t>
      </w:r>
      <w:r>
        <w:t>:</w:t>
      </w:r>
      <w:r w:rsidR="00370079">
        <w:t xml:space="preserve"> </w:t>
      </w:r>
      <w:r w:rsidR="009A0B24" w:rsidRPr="000E6C35">
        <w:rPr>
          <w:u w:val="single"/>
        </w:rPr>
        <w:t xml:space="preserve">експерт технічний з промислової безпеки </w:t>
      </w:r>
      <w:r w:rsidR="00CC7436">
        <w:t>–</w:t>
      </w:r>
      <w:r w:rsidR="009A0B24">
        <w:t xml:space="preserve"> атестований фахівець, який має право проводити технічний ог</w:t>
      </w:r>
      <w:r w:rsidR="000913CD">
        <w:t>ляд та/або експертне обстеження</w:t>
      </w:r>
      <w:r>
        <w:t>;</w:t>
      </w:r>
      <w:r w:rsidR="00CC7436">
        <w:t xml:space="preserve"> </w:t>
      </w:r>
      <w:r w:rsidR="009A0B24" w:rsidRPr="000E6C35">
        <w:rPr>
          <w:u w:val="single"/>
        </w:rPr>
        <w:t xml:space="preserve">атестаційна комісія </w:t>
      </w:r>
      <w:r w:rsidR="009A0B24">
        <w:t>– група кваліфікованих фахівців, уповноважена Держгірпромнаглядом, яка приймає рішення про надання права фахівцям на проведення технічного огляду та/або експертного обстеження.</w:t>
      </w:r>
    </w:p>
    <w:p w:rsidR="00B71660" w:rsidRPr="00CC7436" w:rsidRDefault="00370079" w:rsidP="00B71660">
      <w:pPr>
        <w:pStyle w:val="HTML"/>
        <w:ind w:firstLine="567"/>
        <w:jc w:val="both"/>
        <w:rPr>
          <w:rFonts w:ascii="Times New Roman" w:eastAsia="Calibri" w:hAnsi="Times New Roman" w:cs="Times New Roman"/>
          <w:sz w:val="28"/>
          <w:szCs w:val="28"/>
        </w:rPr>
      </w:pPr>
      <w:r>
        <w:rPr>
          <w:rFonts w:ascii="Times New Roman" w:hAnsi="Times New Roman" w:cs="Times New Roman"/>
          <w:sz w:val="28"/>
          <w:szCs w:val="28"/>
        </w:rPr>
        <w:lastRenderedPageBreak/>
        <w:t>Проте</w:t>
      </w:r>
      <w:r w:rsidRPr="000E6C35">
        <w:rPr>
          <w:rFonts w:ascii="Times New Roman" w:eastAsia="Calibri" w:hAnsi="Times New Roman" w:cs="Times New Roman"/>
          <w:sz w:val="28"/>
          <w:szCs w:val="28"/>
        </w:rPr>
        <w:t xml:space="preserve">, </w:t>
      </w:r>
      <w:r w:rsidR="00B71660" w:rsidRPr="000E6C35">
        <w:rPr>
          <w:rFonts w:ascii="Times New Roman" w:eastAsia="Calibri" w:hAnsi="Times New Roman" w:cs="Times New Roman"/>
          <w:sz w:val="28"/>
          <w:szCs w:val="28"/>
        </w:rPr>
        <w:t>закон</w:t>
      </w:r>
      <w:r w:rsidR="00B71660">
        <w:rPr>
          <w:rFonts w:ascii="Times New Roman" w:eastAsia="Calibri" w:hAnsi="Times New Roman" w:cs="Times New Roman"/>
          <w:sz w:val="28"/>
          <w:szCs w:val="28"/>
        </w:rPr>
        <w:t>одавством</w:t>
      </w:r>
      <w:r w:rsidR="00B71660" w:rsidRPr="008824E8">
        <w:rPr>
          <w:rFonts w:ascii="Times New Roman" w:eastAsia="Calibri" w:hAnsi="Times New Roman" w:cs="Times New Roman"/>
          <w:sz w:val="28"/>
          <w:szCs w:val="28"/>
        </w:rPr>
        <w:t xml:space="preserve"> України </w:t>
      </w:r>
      <w:r w:rsidR="00B71660" w:rsidRPr="001B3EF1">
        <w:rPr>
          <w:rFonts w:ascii="Times New Roman" w:eastAsia="Calibri" w:hAnsi="Times New Roman" w:cs="Times New Roman"/>
          <w:sz w:val="28"/>
          <w:szCs w:val="28"/>
        </w:rPr>
        <w:t xml:space="preserve">не </w:t>
      </w:r>
      <w:r w:rsidR="00D412AE">
        <w:rPr>
          <w:rFonts w:ascii="Times New Roman" w:eastAsia="Calibri" w:hAnsi="Times New Roman" w:cs="Times New Roman"/>
          <w:sz w:val="28"/>
          <w:szCs w:val="28"/>
        </w:rPr>
        <w:t>передбачено</w:t>
      </w:r>
      <w:r w:rsidR="00B71660" w:rsidRPr="001B3EF1">
        <w:rPr>
          <w:rFonts w:ascii="Times New Roman" w:eastAsia="Calibri" w:hAnsi="Times New Roman" w:cs="Times New Roman"/>
          <w:sz w:val="28"/>
          <w:szCs w:val="28"/>
        </w:rPr>
        <w:t xml:space="preserve"> повноважень центрального органу виконавчої влади, що реалізує державну політику з питань нагляду та контролю за додержанням законодавства про працю </w:t>
      </w:r>
      <w:r w:rsidR="00B71660" w:rsidRPr="00370079">
        <w:rPr>
          <w:rFonts w:ascii="Times New Roman" w:eastAsia="Calibri" w:hAnsi="Times New Roman" w:cs="Times New Roman"/>
          <w:sz w:val="28"/>
          <w:szCs w:val="28"/>
          <w:u w:val="single"/>
        </w:rPr>
        <w:t>щодо визначення порядку атестації фахівців</w:t>
      </w:r>
      <w:r w:rsidR="00B71660" w:rsidRPr="00370079">
        <w:rPr>
          <w:rFonts w:ascii="Times New Roman" w:hAnsi="Times New Roman" w:cs="Times New Roman"/>
          <w:sz w:val="28"/>
          <w:szCs w:val="28"/>
          <w:u w:val="single"/>
        </w:rPr>
        <w:t>, що мають право проводити технічний огляд та/або експертне обстеження устаткування підвищеної небезпеки, а</w:t>
      </w:r>
      <w:r w:rsidR="00B71660" w:rsidRPr="00370079">
        <w:rPr>
          <w:rFonts w:ascii="Times New Roman" w:eastAsia="Calibri" w:hAnsi="Times New Roman" w:cs="Times New Roman"/>
          <w:sz w:val="28"/>
          <w:szCs w:val="28"/>
          <w:u w:val="single"/>
        </w:rPr>
        <w:t xml:space="preserve"> також уповноваження Держгірпромнаглядом, відповідної атестаційної комісії на проведення атестації експертів технічних з промислової безпеки</w:t>
      </w:r>
      <w:r w:rsidR="00B71660" w:rsidRPr="00CC7436">
        <w:rPr>
          <w:rFonts w:ascii="Times New Roman" w:eastAsia="Calibri" w:hAnsi="Times New Roman" w:cs="Times New Roman"/>
          <w:sz w:val="28"/>
          <w:szCs w:val="28"/>
        </w:rPr>
        <w:t>.</w:t>
      </w:r>
    </w:p>
    <w:p w:rsidR="002E7D5B" w:rsidRDefault="00D412AE" w:rsidP="00D85044">
      <w:pPr>
        <w:pStyle w:val="14"/>
        <w:ind w:right="23" w:firstLine="540"/>
        <w:contextualSpacing/>
      </w:pPr>
      <w:r>
        <w:t xml:space="preserve">Крім того, пунктом </w:t>
      </w:r>
      <w:r w:rsidR="009A0B24" w:rsidRPr="009A0B24">
        <w:t xml:space="preserve">3.2. </w:t>
      </w:r>
      <w:r w:rsidR="009A0B24">
        <w:t xml:space="preserve">Порядку атестації передбачено, що </w:t>
      </w:r>
      <w:r w:rsidR="009A0B24" w:rsidRPr="009A0B24">
        <w:t>підготовка фахівців включає теоретичне навчання і стажування за обраним напрямом діяльності. Напрями діяльності експертів технічних з промислової безпеки наведено в додатку 1</w:t>
      </w:r>
      <w:r>
        <w:t xml:space="preserve"> Порядку атестації</w:t>
      </w:r>
      <w:r w:rsidR="009A0B24" w:rsidRPr="009A0B24">
        <w:t>.</w:t>
      </w:r>
    </w:p>
    <w:p w:rsidR="00E55A01" w:rsidRDefault="00D412AE" w:rsidP="00D412AE">
      <w:pPr>
        <w:pStyle w:val="14"/>
        <w:ind w:right="23" w:firstLine="540"/>
        <w:contextualSpacing/>
      </w:pPr>
      <w:r>
        <w:t xml:space="preserve">За результатами </w:t>
      </w:r>
      <w:r w:rsidRPr="00783FD2">
        <w:t>теоретичного навчання</w:t>
      </w:r>
      <w:r>
        <w:t xml:space="preserve"> у </w:t>
      </w:r>
      <w:r w:rsidRPr="005F32D6">
        <w:t>Державному підприємств</w:t>
      </w:r>
      <w:r w:rsidR="00E55A01">
        <w:t>і</w:t>
      </w:r>
      <w:r w:rsidRPr="005F32D6">
        <w:t xml:space="preserve"> «Головний навчально-методичний центр» Держгірпромнагляду (далі – ГНМЦ) стажування та атестації фахівець з базовою вищою технічною освітою </w:t>
      </w:r>
      <w:r w:rsidRPr="005F32D6">
        <w:rPr>
          <w:u w:val="single"/>
        </w:rPr>
        <w:t xml:space="preserve">отримує посвідчення експерта технічного з промислової безпеки </w:t>
      </w:r>
      <w:r w:rsidRPr="005F32D6">
        <w:t xml:space="preserve">і </w:t>
      </w:r>
      <w:r w:rsidRPr="00CE67A9">
        <w:rPr>
          <w:u w:val="single"/>
        </w:rPr>
        <w:t>право на проведення технічного огляду та/або експертного обстеження</w:t>
      </w:r>
      <w:r w:rsidR="00E55A01">
        <w:t>.</w:t>
      </w:r>
    </w:p>
    <w:p w:rsidR="00D412AE" w:rsidRDefault="00E55A01" w:rsidP="00D412AE">
      <w:pPr>
        <w:pStyle w:val="14"/>
        <w:ind w:right="23" w:firstLine="540"/>
        <w:contextualSpacing/>
      </w:pPr>
      <w:r>
        <w:t>Однак,</w:t>
      </w:r>
      <w:r w:rsidR="00D412AE">
        <w:t xml:space="preserve"> законодавством не встановлено обов’язку експерта технічного з промислової безпеки отримувати відповідне посвідчення.</w:t>
      </w:r>
      <w:r w:rsidR="00D412AE" w:rsidRPr="00D412AE">
        <w:t xml:space="preserve"> </w:t>
      </w:r>
    </w:p>
    <w:p w:rsidR="00CE67A9" w:rsidRDefault="00CE67A9" w:rsidP="00CE67A9">
      <w:pPr>
        <w:pStyle w:val="14"/>
        <w:ind w:right="23" w:firstLine="540"/>
        <w:contextualSpacing/>
      </w:pPr>
      <w:r w:rsidRPr="005F32D6">
        <w:t>Разом з цим, виходячи з положень Порядку атестації</w:t>
      </w:r>
      <w:r>
        <w:t xml:space="preserve"> </w:t>
      </w:r>
      <w:r w:rsidRPr="005F32D6">
        <w:rPr>
          <w:u w:val="single"/>
        </w:rPr>
        <w:t>ГНМЦ надано виключне право здійснювати організацію атестації фахівців</w:t>
      </w:r>
      <w:r w:rsidRPr="008230C5">
        <w:rPr>
          <w:u w:val="single"/>
        </w:rPr>
        <w:t>, що мають право проводити технічний огляд та/або експертне обстеження устаткування підвищеної небезпеки</w:t>
      </w:r>
      <w:r w:rsidRPr="005F32D6">
        <w:t>, зокрема</w:t>
      </w:r>
      <w:r w:rsidR="003E7C06">
        <w:t>,</w:t>
      </w:r>
      <w:r w:rsidRPr="005F32D6">
        <w:t xml:space="preserve"> в частині проведення теоретичного навчання фахівців, </w:t>
      </w:r>
      <w:r w:rsidR="008230C5">
        <w:t xml:space="preserve">а також </w:t>
      </w:r>
      <w:r w:rsidRPr="005F32D6">
        <w:t>підготовки</w:t>
      </w:r>
      <w:r w:rsidR="008230C5">
        <w:t xml:space="preserve"> та надання необхідних документів</w:t>
      </w:r>
      <w:r w:rsidRPr="005F32D6">
        <w:t xml:space="preserve"> </w:t>
      </w:r>
      <w:r w:rsidR="008230C5">
        <w:t>на розгляд</w:t>
      </w:r>
      <w:r w:rsidR="008230C5" w:rsidRPr="005F32D6">
        <w:t xml:space="preserve"> атестаційн</w:t>
      </w:r>
      <w:r w:rsidR="008230C5">
        <w:t>ій</w:t>
      </w:r>
      <w:r w:rsidR="008230C5" w:rsidRPr="005F32D6">
        <w:t xml:space="preserve"> комісі</w:t>
      </w:r>
      <w:r w:rsidR="008230C5">
        <w:t>ї</w:t>
      </w:r>
      <w:r w:rsidR="008230C5" w:rsidRPr="005F32D6">
        <w:t xml:space="preserve">, склад якої </w:t>
      </w:r>
      <w:r w:rsidR="008230C5">
        <w:t xml:space="preserve">затверджується </w:t>
      </w:r>
      <w:r w:rsidR="008230C5" w:rsidRPr="005F32D6">
        <w:t>наказом Держгірпромнагляду</w:t>
      </w:r>
      <w:r w:rsidR="008230C5">
        <w:t>,</w:t>
      </w:r>
      <w:r w:rsidR="008230C5" w:rsidRPr="005F32D6">
        <w:t xml:space="preserve"> </w:t>
      </w:r>
      <w:r w:rsidR="008230C5">
        <w:t>з метою</w:t>
      </w:r>
      <w:r w:rsidRPr="005F32D6">
        <w:t xml:space="preserve"> здійснення </w:t>
      </w:r>
      <w:r w:rsidR="008230C5">
        <w:t xml:space="preserve">нею </w:t>
      </w:r>
      <w:r w:rsidRPr="005F32D6">
        <w:t>перевірки та оцінки практичних навичок техн</w:t>
      </w:r>
      <w:r w:rsidRPr="008230C5">
        <w:t>ічних експертів,</w:t>
      </w:r>
      <w:r w:rsidR="008230C5" w:rsidRPr="008230C5">
        <w:t xml:space="preserve"> та </w:t>
      </w:r>
      <w:r w:rsidR="008230C5" w:rsidRPr="005F32D6">
        <w:t>вид</w:t>
      </w:r>
      <w:r w:rsidR="002A442D">
        <w:t>ачі</w:t>
      </w:r>
      <w:r w:rsidR="008230C5" w:rsidRPr="005F32D6">
        <w:t xml:space="preserve"> атестованій особі посвідчення</w:t>
      </w:r>
      <w:r w:rsidR="002A442D">
        <w:t xml:space="preserve"> експерта технічного з промислової безпеки</w:t>
      </w:r>
      <w:r>
        <w:t>.</w:t>
      </w:r>
    </w:p>
    <w:p w:rsidR="00D412AE" w:rsidRDefault="00D412AE" w:rsidP="00D412AE">
      <w:pPr>
        <w:pStyle w:val="14"/>
        <w:tabs>
          <w:tab w:val="clear" w:pos="5655"/>
          <w:tab w:val="clear" w:pos="8787"/>
          <w:tab w:val="right" w:pos="13467"/>
        </w:tabs>
        <w:ind w:right="23" w:firstLine="567"/>
        <w:contextualSpacing/>
      </w:pPr>
      <w:r>
        <w:t xml:space="preserve">Однак, </w:t>
      </w:r>
      <w:r w:rsidR="003E7C06">
        <w:t>а</w:t>
      </w:r>
      <w:r>
        <w:t xml:space="preserve">ні Законом України «Про охорону праці», </w:t>
      </w:r>
      <w:r w:rsidR="003E7C06">
        <w:t>а</w:t>
      </w:r>
      <w:r>
        <w:t xml:space="preserve">ні Законом України «Про професійний розвиток працівників», </w:t>
      </w:r>
      <w:r w:rsidR="003E7C06">
        <w:t>а</w:t>
      </w:r>
      <w:r>
        <w:t xml:space="preserve">ні будь-яким іншим нормативно-правовим актом не </w:t>
      </w:r>
      <w:r w:rsidRPr="00FF5391">
        <w:t>визначено ГНМЦ, як єдиний навчально-методичний центр, що має право надавати послуги з навчання та організації атестації фахівців, що мають право проводити технічний огляд та/або експертне обстеження ус</w:t>
      </w:r>
      <w:r>
        <w:t>таткування підвищеної небезпеки.</w:t>
      </w:r>
    </w:p>
    <w:p w:rsidR="00E55A01" w:rsidRDefault="00FB08D4" w:rsidP="00D412AE">
      <w:pPr>
        <w:pStyle w:val="14"/>
        <w:tabs>
          <w:tab w:val="clear" w:pos="5655"/>
          <w:tab w:val="clear" w:pos="8787"/>
          <w:tab w:val="right" w:pos="13467"/>
        </w:tabs>
        <w:ind w:right="23" w:firstLine="567"/>
        <w:contextualSpacing/>
      </w:pPr>
      <w:r>
        <w:t>За таких обставин,</w:t>
      </w:r>
      <w:r w:rsidR="00212264">
        <w:t xml:space="preserve"> вищі навчальні заклади освіти позбавлені права на здійснення перепідготовки та підвищення кваліфікації експертів технічних промислової безпеки.</w:t>
      </w:r>
    </w:p>
    <w:p w:rsidR="00212264" w:rsidRDefault="00212264" w:rsidP="00D412AE">
      <w:pPr>
        <w:pStyle w:val="14"/>
        <w:tabs>
          <w:tab w:val="clear" w:pos="5655"/>
          <w:tab w:val="clear" w:pos="8787"/>
          <w:tab w:val="right" w:pos="13467"/>
        </w:tabs>
        <w:ind w:right="23" w:firstLine="567"/>
        <w:contextualSpacing/>
      </w:pPr>
      <w:r>
        <w:t xml:space="preserve">Таким чином, запроваджений механізм державного регулювання в частині надання виключного права ГНМЦ </w:t>
      </w:r>
      <w:r w:rsidR="006A0734">
        <w:t xml:space="preserve">проводити </w:t>
      </w:r>
      <w:r w:rsidRPr="00FF5391">
        <w:t xml:space="preserve">навчання </w:t>
      </w:r>
      <w:r w:rsidR="006A0734">
        <w:t>експертів технічних з промислової безпеки</w:t>
      </w:r>
      <w:r>
        <w:t xml:space="preserve">, має дискримінаційний характер та створює передумови для усунення конкуренції, що в свою чергу, призводить до неправомірного обмеження кола суб’єктів господарювання, що </w:t>
      </w:r>
      <w:r w:rsidR="000C24F3">
        <w:t xml:space="preserve">можуть здійснювати </w:t>
      </w:r>
      <w:r>
        <w:t>господарську діяльність у ві</w:t>
      </w:r>
      <w:r w:rsidR="000C24F3">
        <w:t>дповідній сфері.</w:t>
      </w:r>
    </w:p>
    <w:p w:rsidR="002A442D" w:rsidRDefault="000C24F3" w:rsidP="002A442D">
      <w:pPr>
        <w:pStyle w:val="14"/>
        <w:tabs>
          <w:tab w:val="clear" w:pos="5655"/>
          <w:tab w:val="clear" w:pos="8787"/>
          <w:tab w:val="right" w:pos="13467"/>
        </w:tabs>
        <w:ind w:right="23" w:firstLine="567"/>
        <w:contextualSpacing/>
      </w:pPr>
      <w:r>
        <w:t>В</w:t>
      </w:r>
      <w:r w:rsidR="002A442D">
        <w:t xml:space="preserve"> свою чергу, статтею 42 Конституції України передбачається, що кожен має право на підприємницьку діяльність, яка не заборонена законом. Держава забезпечує захист конкуренції у підприємницькій діяльності. Не допускаються </w:t>
      </w:r>
      <w:r w:rsidR="002A442D">
        <w:lastRenderedPageBreak/>
        <w:t xml:space="preserve">зловживання монопольним становищем на ринку, неправомірне обмеження конкуренції та недобросовісна конкуренція. </w:t>
      </w:r>
    </w:p>
    <w:p w:rsidR="00F541AA" w:rsidRDefault="00F541AA" w:rsidP="00F541AA">
      <w:pPr>
        <w:pStyle w:val="14"/>
        <w:tabs>
          <w:tab w:val="clear" w:pos="5655"/>
          <w:tab w:val="clear" w:pos="8787"/>
          <w:tab w:val="right" w:pos="13467"/>
        </w:tabs>
        <w:ind w:right="23" w:firstLine="567"/>
        <w:contextualSpacing/>
      </w:pPr>
      <w:r>
        <w:t xml:space="preserve">Відповідно до частини другої статті 19 Конституції України,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w:t>
      </w:r>
    </w:p>
    <w:p w:rsidR="00B255FD" w:rsidRDefault="002A442D" w:rsidP="00B255FD">
      <w:pPr>
        <w:pStyle w:val="14"/>
        <w:ind w:right="23" w:firstLine="567"/>
        <w:contextualSpacing/>
      </w:pPr>
      <w:r>
        <w:t xml:space="preserve">Крім того, частиною </w:t>
      </w:r>
      <w:r w:rsidR="00B255FD">
        <w:t>другою статті 25 Господарського кодексу України  встановлено, що органам державної влади і органам місцевого самоврядування, що регулюють відносини у сфері господарювання, забороняється приймати акти або вчиняти дії, що визначають привілейоване становище суб’єктів господарювання тієї чи іншої форми власності, або ставлять у нерівне становище окремі категорії суб’єктів господарювання чи іншим способом порушують правила конкуренції.</w:t>
      </w:r>
    </w:p>
    <w:p w:rsidR="00B255FD" w:rsidRDefault="00B255FD" w:rsidP="00B255FD">
      <w:pPr>
        <w:pStyle w:val="14"/>
        <w:ind w:right="23" w:firstLine="567"/>
        <w:contextualSpacing/>
      </w:pPr>
      <w:r>
        <w:t>Також, частиною третьою статті 18 Господарського кодексу України передбачено, що органам державної влади та органам місцевого самоврядування, їх посадовим особам забороняється приймати акти та вчиняти дії, які усувають конкуренцію або необґрунтовано сприяють окремим конкурентам у підприємницькій діяльності, чи запроваджують обмеження на ринку, не передбачене законодавством.</w:t>
      </w:r>
    </w:p>
    <w:p w:rsidR="000F61CA" w:rsidRDefault="000F61CA" w:rsidP="000F61CA">
      <w:pPr>
        <w:pStyle w:val="14"/>
        <w:ind w:right="23" w:firstLine="567"/>
        <w:contextualSpacing/>
      </w:pPr>
      <w:r>
        <w:t xml:space="preserve">Враховуючи вищевикладене, </w:t>
      </w:r>
      <w:r w:rsidR="00F75F3E">
        <w:t xml:space="preserve">положення </w:t>
      </w:r>
      <w:r>
        <w:t>Наказ</w:t>
      </w:r>
      <w:r w:rsidR="00F75F3E">
        <w:t>у</w:t>
      </w:r>
      <w:r>
        <w:t xml:space="preserve"> № </w:t>
      </w:r>
      <w:r w:rsidR="00F75F3E">
        <w:t>16</w:t>
      </w:r>
      <w:r w:rsidRPr="00546EEB">
        <w:t xml:space="preserve"> </w:t>
      </w:r>
      <w:r>
        <w:t>порушу</w:t>
      </w:r>
      <w:r w:rsidR="00F75F3E">
        <w:t>ють</w:t>
      </w:r>
      <w:r w:rsidRPr="008366F0">
        <w:t xml:space="preserve"> такі обов’язкові принципи державної регуляторної політики, </w:t>
      </w:r>
      <w:r>
        <w:t>передбачені</w:t>
      </w:r>
      <w:r w:rsidRPr="008366F0">
        <w:t xml:space="preserve"> статтею 4 Закону, як:</w:t>
      </w:r>
    </w:p>
    <w:p w:rsidR="00271B2E" w:rsidRDefault="000F61CA" w:rsidP="000F61CA">
      <w:pPr>
        <w:pStyle w:val="HTML"/>
        <w:ind w:firstLine="567"/>
        <w:jc w:val="both"/>
        <w:rPr>
          <w:rFonts w:ascii="Times New Roman" w:hAnsi="Times New Roman" w:cs="Times New Roman"/>
          <w:i/>
          <w:sz w:val="28"/>
          <w:szCs w:val="28"/>
        </w:rPr>
      </w:pPr>
      <w:r>
        <w:rPr>
          <w:rFonts w:ascii="Times New Roman" w:hAnsi="Times New Roman" w:cs="Times New Roman"/>
          <w:sz w:val="28"/>
          <w:szCs w:val="28"/>
        </w:rPr>
        <w:t xml:space="preserve">доцільності – </w:t>
      </w:r>
      <w:r w:rsidRPr="00F92E41">
        <w:rPr>
          <w:rFonts w:ascii="Times New Roman" w:hAnsi="Times New Roman" w:cs="Times New Roman"/>
          <w:sz w:val="28"/>
          <w:szCs w:val="28"/>
        </w:rPr>
        <w:t>обґрунтован</w:t>
      </w:r>
      <w:r>
        <w:rPr>
          <w:rFonts w:ascii="Times New Roman" w:hAnsi="Times New Roman" w:cs="Times New Roman"/>
          <w:sz w:val="28"/>
          <w:szCs w:val="28"/>
        </w:rPr>
        <w:t>ої</w:t>
      </w:r>
      <w:r w:rsidRPr="00F92E41">
        <w:rPr>
          <w:rFonts w:ascii="Times New Roman" w:hAnsi="Times New Roman" w:cs="Times New Roman"/>
          <w:sz w:val="28"/>
          <w:szCs w:val="28"/>
        </w:rPr>
        <w:t xml:space="preserve"> необхідн</w:t>
      </w:r>
      <w:r>
        <w:rPr>
          <w:rFonts w:ascii="Times New Roman" w:hAnsi="Times New Roman" w:cs="Times New Roman"/>
          <w:sz w:val="28"/>
          <w:szCs w:val="28"/>
        </w:rPr>
        <w:t>ості</w:t>
      </w:r>
      <w:r w:rsidRPr="00F92E41">
        <w:rPr>
          <w:rFonts w:ascii="Times New Roman" w:hAnsi="Times New Roman" w:cs="Times New Roman"/>
          <w:sz w:val="28"/>
          <w:szCs w:val="28"/>
        </w:rPr>
        <w:t xml:space="preserve"> державного регул</w:t>
      </w:r>
      <w:r>
        <w:rPr>
          <w:rFonts w:ascii="Times New Roman" w:hAnsi="Times New Roman" w:cs="Times New Roman"/>
          <w:sz w:val="28"/>
          <w:szCs w:val="28"/>
        </w:rPr>
        <w:t xml:space="preserve">ювання господарських відносин з метою вирішення </w:t>
      </w:r>
      <w:r w:rsidRPr="00F92E41">
        <w:rPr>
          <w:rFonts w:ascii="Times New Roman" w:hAnsi="Times New Roman" w:cs="Times New Roman"/>
          <w:sz w:val="28"/>
          <w:szCs w:val="28"/>
        </w:rPr>
        <w:t xml:space="preserve">існуючої </w:t>
      </w:r>
      <w:r>
        <w:rPr>
          <w:rFonts w:ascii="Times New Roman" w:hAnsi="Times New Roman" w:cs="Times New Roman"/>
          <w:sz w:val="28"/>
          <w:szCs w:val="28"/>
        </w:rPr>
        <w:t xml:space="preserve">проблеми, </w:t>
      </w:r>
      <w:r>
        <w:rPr>
          <w:rFonts w:ascii="Times New Roman" w:hAnsi="Times New Roman" w:cs="Times New Roman"/>
          <w:i/>
          <w:sz w:val="28"/>
          <w:szCs w:val="28"/>
        </w:rPr>
        <w:t>в частині</w:t>
      </w:r>
      <w:r w:rsidRPr="00557510">
        <w:rPr>
          <w:rFonts w:ascii="Times New Roman" w:hAnsi="Times New Roman" w:cs="Times New Roman"/>
          <w:i/>
          <w:sz w:val="28"/>
          <w:szCs w:val="28"/>
        </w:rPr>
        <w:t xml:space="preserve"> </w:t>
      </w:r>
      <w:r w:rsidR="001147FC">
        <w:rPr>
          <w:rFonts w:ascii="Times New Roman" w:hAnsi="Times New Roman" w:cs="Times New Roman"/>
          <w:i/>
          <w:sz w:val="28"/>
          <w:szCs w:val="28"/>
        </w:rPr>
        <w:t xml:space="preserve">відсутності </w:t>
      </w:r>
      <w:r w:rsidR="00586F6C">
        <w:rPr>
          <w:rFonts w:ascii="Times New Roman" w:hAnsi="Times New Roman" w:cs="Times New Roman"/>
          <w:i/>
          <w:sz w:val="28"/>
          <w:szCs w:val="28"/>
        </w:rPr>
        <w:t>необхідн</w:t>
      </w:r>
      <w:r w:rsidR="001147FC">
        <w:rPr>
          <w:rFonts w:ascii="Times New Roman" w:hAnsi="Times New Roman" w:cs="Times New Roman"/>
          <w:i/>
          <w:sz w:val="28"/>
          <w:szCs w:val="28"/>
        </w:rPr>
        <w:t>о</w:t>
      </w:r>
      <w:r w:rsidR="00586F6C">
        <w:rPr>
          <w:rFonts w:ascii="Times New Roman" w:hAnsi="Times New Roman" w:cs="Times New Roman"/>
          <w:i/>
          <w:sz w:val="28"/>
          <w:szCs w:val="28"/>
        </w:rPr>
        <w:t>ст</w:t>
      </w:r>
      <w:r w:rsidR="001147FC">
        <w:rPr>
          <w:rFonts w:ascii="Times New Roman" w:hAnsi="Times New Roman" w:cs="Times New Roman"/>
          <w:i/>
          <w:sz w:val="28"/>
          <w:szCs w:val="28"/>
        </w:rPr>
        <w:t>і запровадження</w:t>
      </w:r>
      <w:r w:rsidR="00586F6C">
        <w:rPr>
          <w:rFonts w:ascii="Times New Roman" w:hAnsi="Times New Roman" w:cs="Times New Roman"/>
          <w:i/>
          <w:sz w:val="28"/>
          <w:szCs w:val="28"/>
        </w:rPr>
        <w:t xml:space="preserve"> </w:t>
      </w:r>
      <w:r w:rsidR="001147FC">
        <w:rPr>
          <w:rFonts w:ascii="Times New Roman" w:hAnsi="Times New Roman" w:cs="Times New Roman"/>
          <w:i/>
          <w:sz w:val="28"/>
          <w:szCs w:val="28"/>
        </w:rPr>
        <w:t>механізму державного регулювання,</w:t>
      </w:r>
      <w:r w:rsidR="00586F6C">
        <w:rPr>
          <w:rFonts w:ascii="Times New Roman" w:hAnsi="Times New Roman" w:cs="Times New Roman"/>
          <w:i/>
          <w:sz w:val="28"/>
          <w:szCs w:val="28"/>
        </w:rPr>
        <w:t xml:space="preserve"> </w:t>
      </w:r>
      <w:r w:rsidR="00271B2E">
        <w:rPr>
          <w:rFonts w:ascii="Times New Roman" w:hAnsi="Times New Roman" w:cs="Times New Roman"/>
          <w:i/>
          <w:sz w:val="28"/>
          <w:szCs w:val="28"/>
        </w:rPr>
        <w:t>передбаченого положеннями наказу № 16,</w:t>
      </w:r>
      <w:r w:rsidR="006A0734">
        <w:rPr>
          <w:rFonts w:ascii="Times New Roman" w:hAnsi="Times New Roman" w:cs="Times New Roman"/>
          <w:i/>
          <w:sz w:val="28"/>
          <w:szCs w:val="28"/>
        </w:rPr>
        <w:t xml:space="preserve"> </w:t>
      </w:r>
      <w:r w:rsidR="005F6A36">
        <w:rPr>
          <w:rFonts w:ascii="Times New Roman" w:hAnsi="Times New Roman" w:cs="Times New Roman"/>
          <w:i/>
          <w:sz w:val="28"/>
          <w:szCs w:val="28"/>
        </w:rPr>
        <w:t>потреба в якому наразі не визначена чинним законодавством,</w:t>
      </w:r>
      <w:r w:rsidR="00271B2E">
        <w:rPr>
          <w:rFonts w:ascii="Times New Roman" w:hAnsi="Times New Roman" w:cs="Times New Roman"/>
          <w:i/>
          <w:sz w:val="28"/>
          <w:szCs w:val="28"/>
        </w:rPr>
        <w:t xml:space="preserve"> </w:t>
      </w:r>
      <w:r w:rsidR="00271B2E" w:rsidRPr="001B6CD7">
        <w:rPr>
          <w:rFonts w:ascii="Times New Roman" w:hAnsi="Times New Roman" w:cs="Times New Roman"/>
          <w:i/>
          <w:sz w:val="28"/>
          <w:szCs w:val="28"/>
        </w:rPr>
        <w:t xml:space="preserve">що, </w:t>
      </w:r>
      <w:r w:rsidR="00271B2E">
        <w:rPr>
          <w:rFonts w:ascii="Times New Roman" w:hAnsi="Times New Roman" w:cs="Times New Roman"/>
          <w:i/>
          <w:sz w:val="28"/>
          <w:szCs w:val="28"/>
        </w:rPr>
        <w:t xml:space="preserve">в свою чергу, </w:t>
      </w:r>
      <w:r w:rsidR="00271B2E" w:rsidRPr="00557510">
        <w:rPr>
          <w:rFonts w:ascii="Times New Roman" w:hAnsi="Times New Roman" w:cs="Times New Roman"/>
          <w:i/>
          <w:sz w:val="28"/>
          <w:szCs w:val="28"/>
        </w:rPr>
        <w:t>не вирішує</w:t>
      </w:r>
      <w:r w:rsidR="00271B2E">
        <w:rPr>
          <w:rFonts w:ascii="Times New Roman" w:hAnsi="Times New Roman" w:cs="Times New Roman"/>
          <w:sz w:val="28"/>
          <w:szCs w:val="28"/>
        </w:rPr>
        <w:t xml:space="preserve"> </w:t>
      </w:r>
      <w:r w:rsidR="00271B2E" w:rsidRPr="00557510">
        <w:rPr>
          <w:rFonts w:ascii="Times New Roman" w:hAnsi="Times New Roman" w:cs="Times New Roman"/>
          <w:i/>
          <w:sz w:val="28"/>
          <w:szCs w:val="28"/>
        </w:rPr>
        <w:t>проблем</w:t>
      </w:r>
      <w:r w:rsidR="00271B2E">
        <w:rPr>
          <w:rFonts w:ascii="Times New Roman" w:hAnsi="Times New Roman" w:cs="Times New Roman"/>
          <w:i/>
          <w:sz w:val="28"/>
          <w:szCs w:val="28"/>
        </w:rPr>
        <w:t xml:space="preserve">у </w:t>
      </w:r>
      <w:r w:rsidR="005F6A36">
        <w:rPr>
          <w:rFonts w:ascii="Times New Roman" w:hAnsi="Times New Roman" w:cs="Times New Roman"/>
          <w:i/>
          <w:sz w:val="28"/>
          <w:szCs w:val="28"/>
        </w:rPr>
        <w:t xml:space="preserve">щодо </w:t>
      </w:r>
      <w:r w:rsidR="0025341D">
        <w:rPr>
          <w:rFonts w:ascii="Times New Roman" w:hAnsi="Times New Roman" w:cs="Times New Roman"/>
          <w:i/>
          <w:sz w:val="28"/>
          <w:szCs w:val="28"/>
        </w:rPr>
        <w:t>атестації та порядку допуску фахівців для проведення технічного огляду та/або експертного обстеження устаткування підвищеної небезпеки;</w:t>
      </w:r>
      <w:r w:rsidR="00271B2E">
        <w:rPr>
          <w:rFonts w:ascii="Times New Roman" w:hAnsi="Times New Roman" w:cs="Times New Roman"/>
          <w:i/>
          <w:sz w:val="28"/>
          <w:szCs w:val="28"/>
        </w:rPr>
        <w:t xml:space="preserve"> </w:t>
      </w:r>
    </w:p>
    <w:p w:rsidR="000F61CA" w:rsidRPr="00905DA9" w:rsidRDefault="000F61CA" w:rsidP="000F61CA">
      <w:pPr>
        <w:pStyle w:val="a3"/>
        <w:spacing w:before="0" w:beforeAutospacing="0" w:after="0" w:afterAutospacing="0"/>
        <w:ind w:right="23" w:firstLine="567"/>
        <w:jc w:val="both"/>
        <w:rPr>
          <w:i/>
          <w:sz w:val="28"/>
          <w:szCs w:val="28"/>
          <w:lang w:val="uk-UA"/>
        </w:rPr>
      </w:pPr>
      <w:r w:rsidRPr="00BF7F4F">
        <w:rPr>
          <w:sz w:val="28"/>
          <w:szCs w:val="28"/>
          <w:lang w:val="uk-UA"/>
        </w:rPr>
        <w:t>адекватності – відповідн</w:t>
      </w:r>
      <w:r>
        <w:rPr>
          <w:sz w:val="28"/>
          <w:szCs w:val="28"/>
          <w:lang w:val="uk-UA"/>
        </w:rPr>
        <w:t>о</w:t>
      </w:r>
      <w:r w:rsidRPr="00BF7F4F">
        <w:rPr>
          <w:sz w:val="28"/>
          <w:szCs w:val="28"/>
          <w:lang w:val="uk-UA"/>
        </w:rPr>
        <w:t>ст</w:t>
      </w:r>
      <w:r>
        <w:rPr>
          <w:sz w:val="28"/>
          <w:szCs w:val="28"/>
          <w:lang w:val="uk-UA"/>
        </w:rPr>
        <w:t>і</w:t>
      </w:r>
      <w:r w:rsidRPr="00BF7F4F">
        <w:rPr>
          <w:sz w:val="28"/>
          <w:szCs w:val="28"/>
          <w:lang w:val="uk-UA"/>
        </w:rPr>
        <w:t xml:space="preserve">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w:t>
      </w:r>
      <w:r>
        <w:rPr>
          <w:sz w:val="28"/>
          <w:szCs w:val="28"/>
          <w:lang w:val="uk-UA"/>
        </w:rPr>
        <w:t>,</w:t>
      </w:r>
      <w:r w:rsidRPr="00CC08F1">
        <w:rPr>
          <w:sz w:val="28"/>
          <w:szCs w:val="28"/>
          <w:lang w:val="uk-UA"/>
        </w:rPr>
        <w:t xml:space="preserve"> </w:t>
      </w:r>
      <w:r>
        <w:rPr>
          <w:i/>
          <w:sz w:val="28"/>
          <w:szCs w:val="28"/>
          <w:lang w:val="uk-UA"/>
        </w:rPr>
        <w:t xml:space="preserve">в </w:t>
      </w:r>
      <w:r w:rsidRPr="00AD6D8D">
        <w:rPr>
          <w:i/>
          <w:sz w:val="28"/>
          <w:szCs w:val="28"/>
          <w:lang w:val="uk-UA"/>
        </w:rPr>
        <w:t xml:space="preserve">частині відсутності альтернативних </w:t>
      </w:r>
      <w:r w:rsidR="00905DA9" w:rsidRPr="00AD6D8D">
        <w:rPr>
          <w:i/>
          <w:sz w:val="28"/>
          <w:szCs w:val="28"/>
          <w:lang w:val="uk-UA"/>
        </w:rPr>
        <w:t xml:space="preserve">способів </w:t>
      </w:r>
      <w:r w:rsidR="00AD6D8D" w:rsidRPr="00AD6D8D">
        <w:rPr>
          <w:i/>
          <w:sz w:val="28"/>
          <w:szCs w:val="28"/>
          <w:lang w:val="uk-UA"/>
        </w:rPr>
        <w:t>підвищення кваліфікації та атестації експертів технічних з промислової безпеки</w:t>
      </w:r>
      <w:r w:rsidR="00AD6D8D">
        <w:rPr>
          <w:i/>
          <w:sz w:val="28"/>
          <w:szCs w:val="28"/>
          <w:lang w:val="uk-UA"/>
        </w:rPr>
        <w:t>,</w:t>
      </w:r>
      <w:r w:rsidR="00AD6D8D" w:rsidRPr="00AD6D8D">
        <w:rPr>
          <w:i/>
          <w:sz w:val="28"/>
          <w:szCs w:val="28"/>
          <w:lang w:val="uk-UA"/>
        </w:rPr>
        <w:t xml:space="preserve"> </w:t>
      </w:r>
      <w:r w:rsidR="00271B2E">
        <w:rPr>
          <w:i/>
          <w:sz w:val="28"/>
          <w:szCs w:val="28"/>
          <w:lang w:val="uk-UA"/>
        </w:rPr>
        <w:t>оскільки</w:t>
      </w:r>
      <w:r w:rsidR="00AD6D8D">
        <w:rPr>
          <w:i/>
          <w:sz w:val="28"/>
          <w:szCs w:val="28"/>
          <w:lang w:val="uk-UA"/>
        </w:rPr>
        <w:t xml:space="preserve"> у відповідному сегменті ринку</w:t>
      </w:r>
      <w:r w:rsidR="00905DA9" w:rsidRPr="00AD6D8D">
        <w:rPr>
          <w:i/>
          <w:sz w:val="28"/>
          <w:szCs w:val="28"/>
          <w:lang w:val="uk-UA"/>
        </w:rPr>
        <w:t xml:space="preserve"> </w:t>
      </w:r>
      <w:r w:rsidR="00AD6D8D">
        <w:rPr>
          <w:i/>
          <w:sz w:val="28"/>
          <w:szCs w:val="28"/>
          <w:lang w:val="uk-UA"/>
        </w:rPr>
        <w:t>відсутня конкуренція</w:t>
      </w:r>
      <w:r w:rsidR="00905DA9" w:rsidRPr="00AD6D8D">
        <w:rPr>
          <w:i/>
          <w:sz w:val="28"/>
          <w:szCs w:val="28"/>
          <w:lang w:val="uk-UA"/>
        </w:rPr>
        <w:t xml:space="preserve">, внаслідок чого </w:t>
      </w:r>
      <w:r w:rsidR="00AD6D8D">
        <w:rPr>
          <w:i/>
          <w:sz w:val="28"/>
          <w:szCs w:val="28"/>
          <w:lang w:val="uk-UA"/>
        </w:rPr>
        <w:t xml:space="preserve">роботодавець змушений укладати </w:t>
      </w:r>
      <w:r w:rsidR="00905DA9" w:rsidRPr="00AD6D8D">
        <w:rPr>
          <w:i/>
          <w:sz w:val="28"/>
          <w:szCs w:val="28"/>
          <w:lang w:val="uk-UA"/>
        </w:rPr>
        <w:t>договір лише з</w:t>
      </w:r>
      <w:r w:rsidR="00AD6D8D">
        <w:rPr>
          <w:i/>
          <w:sz w:val="28"/>
          <w:szCs w:val="28"/>
          <w:lang w:val="uk-UA"/>
        </w:rPr>
        <w:t xml:space="preserve"> ГНМЦ з метою отримання відповідних послуг</w:t>
      </w:r>
      <w:r w:rsidRPr="00905DA9">
        <w:rPr>
          <w:i/>
          <w:sz w:val="28"/>
          <w:szCs w:val="28"/>
          <w:lang w:val="uk-UA"/>
        </w:rPr>
        <w:t>;</w:t>
      </w:r>
    </w:p>
    <w:p w:rsidR="005251A2" w:rsidRPr="005251A2" w:rsidRDefault="00F75F3E" w:rsidP="00F75F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F75F3E">
        <w:rPr>
          <w:sz w:val="28"/>
          <w:szCs w:val="28"/>
          <w:lang w:val="uk-UA"/>
        </w:rPr>
        <w:t>ефективн</w:t>
      </w:r>
      <w:r w:rsidR="00586F6C">
        <w:rPr>
          <w:sz w:val="28"/>
          <w:szCs w:val="28"/>
          <w:lang w:val="uk-UA"/>
        </w:rPr>
        <w:t>о</w:t>
      </w:r>
      <w:r w:rsidRPr="00F75F3E">
        <w:rPr>
          <w:sz w:val="28"/>
          <w:szCs w:val="28"/>
          <w:lang w:val="uk-UA"/>
        </w:rPr>
        <w:t>ст</w:t>
      </w:r>
      <w:r w:rsidR="00586F6C">
        <w:rPr>
          <w:sz w:val="28"/>
          <w:szCs w:val="28"/>
          <w:lang w:val="uk-UA"/>
        </w:rPr>
        <w:t>і</w:t>
      </w:r>
      <w:r w:rsidRPr="00F75F3E">
        <w:rPr>
          <w:sz w:val="28"/>
          <w:szCs w:val="28"/>
          <w:lang w:val="uk-UA"/>
        </w:rPr>
        <w:t xml:space="preserve"> – забезпечення досягнення внаслідок</w:t>
      </w:r>
      <w:r w:rsidR="005251A2" w:rsidRPr="005251A2">
        <w:rPr>
          <w:sz w:val="28"/>
          <w:szCs w:val="28"/>
          <w:lang w:val="uk-UA"/>
        </w:rPr>
        <w:t xml:space="preserve"> дії </w:t>
      </w:r>
      <w:r w:rsidRPr="00F75F3E">
        <w:rPr>
          <w:sz w:val="28"/>
          <w:szCs w:val="28"/>
          <w:lang w:val="uk-UA"/>
        </w:rPr>
        <w:t>регуляторного</w:t>
      </w:r>
      <w:r w:rsidR="005251A2" w:rsidRPr="005251A2">
        <w:rPr>
          <w:sz w:val="28"/>
          <w:szCs w:val="28"/>
          <w:lang w:val="uk-UA"/>
        </w:rPr>
        <w:t xml:space="preserve"> акта максимально можливих позитивних результатів за рахуно</w:t>
      </w:r>
      <w:r w:rsidRPr="00F75F3E">
        <w:rPr>
          <w:sz w:val="28"/>
          <w:szCs w:val="28"/>
          <w:lang w:val="uk-UA"/>
        </w:rPr>
        <w:t>к мінімально необхідних витрат ресурсів</w:t>
      </w:r>
      <w:r w:rsidR="005251A2" w:rsidRPr="005251A2">
        <w:rPr>
          <w:sz w:val="28"/>
          <w:szCs w:val="28"/>
          <w:lang w:val="uk-UA"/>
        </w:rPr>
        <w:t xml:space="preserve"> </w:t>
      </w:r>
      <w:r w:rsidRPr="00F75F3E">
        <w:rPr>
          <w:sz w:val="28"/>
          <w:szCs w:val="28"/>
          <w:lang w:val="uk-UA"/>
        </w:rPr>
        <w:t>суб’єктів</w:t>
      </w:r>
      <w:r w:rsidR="005251A2" w:rsidRPr="005251A2">
        <w:rPr>
          <w:sz w:val="28"/>
          <w:szCs w:val="28"/>
          <w:lang w:val="uk-UA"/>
        </w:rPr>
        <w:t xml:space="preserve"> господарювання, громадян та держави</w:t>
      </w:r>
      <w:r>
        <w:rPr>
          <w:sz w:val="28"/>
          <w:szCs w:val="28"/>
          <w:lang w:val="uk-UA"/>
        </w:rPr>
        <w:t>,</w:t>
      </w:r>
      <w:r w:rsidR="00586F6C">
        <w:rPr>
          <w:sz w:val="28"/>
          <w:szCs w:val="28"/>
          <w:lang w:val="uk-UA"/>
        </w:rPr>
        <w:t xml:space="preserve"> </w:t>
      </w:r>
      <w:r w:rsidR="00586F6C" w:rsidRPr="00586F6C">
        <w:rPr>
          <w:i/>
          <w:sz w:val="28"/>
          <w:szCs w:val="28"/>
          <w:lang w:val="uk-UA"/>
        </w:rPr>
        <w:t>оскільки відповідний спосіб державного регулювання створює додаткове необґрунтоване адміністративне та фінансове навантаження на суб’єктів господарювання</w:t>
      </w:r>
      <w:r w:rsidR="00586F6C">
        <w:rPr>
          <w:sz w:val="28"/>
          <w:szCs w:val="28"/>
          <w:lang w:val="uk-UA"/>
        </w:rPr>
        <w:t>;</w:t>
      </w:r>
      <w:r>
        <w:rPr>
          <w:sz w:val="28"/>
          <w:szCs w:val="28"/>
          <w:lang w:val="uk-UA"/>
        </w:rPr>
        <w:t xml:space="preserve"> </w:t>
      </w:r>
    </w:p>
    <w:p w:rsidR="000F61CA" w:rsidRPr="007F772E" w:rsidRDefault="000F61CA" w:rsidP="00905DA9">
      <w:pPr>
        <w:ind w:right="23" w:firstLine="567"/>
        <w:jc w:val="both"/>
        <w:rPr>
          <w:sz w:val="28"/>
          <w:szCs w:val="28"/>
          <w:lang w:val="uk-UA"/>
        </w:rPr>
      </w:pPr>
      <w:r w:rsidRPr="007F772E">
        <w:rPr>
          <w:sz w:val="28"/>
          <w:szCs w:val="28"/>
          <w:lang w:val="uk-UA"/>
        </w:rPr>
        <w:t>збалансован</w:t>
      </w:r>
      <w:r>
        <w:rPr>
          <w:sz w:val="28"/>
          <w:szCs w:val="28"/>
          <w:lang w:val="uk-UA"/>
        </w:rPr>
        <w:t>ості</w:t>
      </w:r>
      <w:r w:rsidRPr="007F772E">
        <w:rPr>
          <w:sz w:val="28"/>
          <w:szCs w:val="28"/>
          <w:lang w:val="uk-UA"/>
        </w:rPr>
        <w:t xml:space="preserve"> </w:t>
      </w:r>
      <w:r>
        <w:rPr>
          <w:sz w:val="28"/>
          <w:szCs w:val="28"/>
          <w:lang w:val="uk-UA"/>
        </w:rPr>
        <w:t>–</w:t>
      </w:r>
      <w:r w:rsidRPr="007F772E">
        <w:rPr>
          <w:sz w:val="28"/>
          <w:szCs w:val="28"/>
          <w:lang w:val="uk-UA"/>
        </w:rPr>
        <w:t xml:space="preserve"> забезпечення у регуляторній діяльності балансу інтересів суб’єктів господарювання, громадян та держави</w:t>
      </w:r>
      <w:r>
        <w:rPr>
          <w:sz w:val="28"/>
          <w:szCs w:val="28"/>
          <w:lang w:val="uk-UA"/>
        </w:rPr>
        <w:t>,</w:t>
      </w:r>
      <w:r w:rsidR="0092028C">
        <w:rPr>
          <w:i/>
          <w:sz w:val="28"/>
          <w:szCs w:val="28"/>
          <w:lang w:val="uk-UA"/>
        </w:rPr>
        <w:t xml:space="preserve"> відповідний механізм державного регулювання не забезпечує балансу інтересів всіх </w:t>
      </w:r>
      <w:r w:rsidR="0092028C">
        <w:rPr>
          <w:i/>
          <w:sz w:val="28"/>
          <w:szCs w:val="28"/>
          <w:lang w:val="uk-UA"/>
        </w:rPr>
        <w:lastRenderedPageBreak/>
        <w:t xml:space="preserve">учасників ринку, </w:t>
      </w:r>
      <w:r>
        <w:rPr>
          <w:i/>
          <w:sz w:val="28"/>
          <w:szCs w:val="28"/>
          <w:lang w:val="uk-UA"/>
        </w:rPr>
        <w:t xml:space="preserve">оскільки </w:t>
      </w:r>
      <w:r w:rsidR="0092028C">
        <w:rPr>
          <w:i/>
          <w:sz w:val="28"/>
          <w:szCs w:val="28"/>
          <w:lang w:val="uk-UA"/>
        </w:rPr>
        <w:t>ставить окремого суб’єкта господарювання, що належить до сфери управління Держпраці, у привілейоване становище, що в свою чергу</w:t>
      </w:r>
      <w:r>
        <w:rPr>
          <w:i/>
          <w:sz w:val="28"/>
          <w:szCs w:val="28"/>
          <w:lang w:val="uk-UA"/>
        </w:rPr>
        <w:t>,</w:t>
      </w:r>
      <w:r w:rsidR="0092028C">
        <w:rPr>
          <w:i/>
          <w:sz w:val="28"/>
          <w:szCs w:val="28"/>
          <w:lang w:val="uk-UA"/>
        </w:rPr>
        <w:t xml:space="preserve"> </w:t>
      </w:r>
      <w:r w:rsidR="005F6A36">
        <w:rPr>
          <w:i/>
          <w:sz w:val="28"/>
          <w:szCs w:val="28"/>
          <w:lang w:val="uk-UA"/>
        </w:rPr>
        <w:t>створює штучне обмеження для інших вищих навчальних закладів,</w:t>
      </w:r>
      <w:r w:rsidR="0092028C">
        <w:rPr>
          <w:i/>
          <w:sz w:val="28"/>
          <w:szCs w:val="28"/>
          <w:lang w:val="uk-UA"/>
        </w:rPr>
        <w:t>обмежує конкуренцію у відповідній сфері господарської діяльності</w:t>
      </w:r>
      <w:r w:rsidR="005F6A36">
        <w:rPr>
          <w:i/>
          <w:sz w:val="28"/>
          <w:szCs w:val="28"/>
          <w:lang w:val="uk-UA"/>
        </w:rPr>
        <w:t xml:space="preserve"> та призводить до монополізації ринку.</w:t>
      </w:r>
    </w:p>
    <w:p w:rsidR="000F61CA" w:rsidRPr="007F772E" w:rsidRDefault="000F61CA" w:rsidP="00905DA9">
      <w:pPr>
        <w:spacing w:before="240"/>
        <w:ind w:right="23" w:firstLine="567"/>
        <w:jc w:val="both"/>
        <w:rPr>
          <w:sz w:val="28"/>
          <w:szCs w:val="28"/>
          <w:lang w:val="uk-UA"/>
        </w:rPr>
      </w:pPr>
      <w:r w:rsidRPr="007F772E">
        <w:rPr>
          <w:sz w:val="28"/>
          <w:szCs w:val="28"/>
          <w:lang w:val="uk-UA"/>
        </w:rPr>
        <w:t>Керуючись частиною третьою статті 27 Закону України «Про засади державної регуляторної політики у сфері господарської діяльності», Державна регуляторн</w:t>
      </w:r>
      <w:r>
        <w:rPr>
          <w:sz w:val="28"/>
          <w:szCs w:val="28"/>
          <w:lang w:val="uk-UA"/>
        </w:rPr>
        <w:t>а</w:t>
      </w:r>
      <w:r w:rsidRPr="007F772E">
        <w:rPr>
          <w:sz w:val="28"/>
          <w:szCs w:val="28"/>
          <w:lang w:val="uk-UA"/>
        </w:rPr>
        <w:t xml:space="preserve"> </w:t>
      </w:r>
      <w:r>
        <w:rPr>
          <w:sz w:val="28"/>
          <w:szCs w:val="28"/>
          <w:lang w:val="uk-UA"/>
        </w:rPr>
        <w:t>служба України</w:t>
      </w:r>
    </w:p>
    <w:p w:rsidR="000F61CA" w:rsidRPr="00820BC8" w:rsidRDefault="000F61CA" w:rsidP="000F61CA">
      <w:pPr>
        <w:pStyle w:val="a3"/>
        <w:ind w:right="23" w:firstLine="540"/>
        <w:jc w:val="center"/>
        <w:rPr>
          <w:sz w:val="28"/>
          <w:szCs w:val="28"/>
          <w:lang w:val="uk-UA"/>
        </w:rPr>
      </w:pPr>
      <w:r w:rsidRPr="00820BC8">
        <w:rPr>
          <w:b/>
          <w:bCs/>
          <w:sz w:val="28"/>
          <w:szCs w:val="28"/>
          <w:lang w:val="uk-UA"/>
        </w:rPr>
        <w:t>вирішила</w:t>
      </w:r>
      <w:r w:rsidRPr="00820BC8">
        <w:rPr>
          <w:sz w:val="28"/>
          <w:szCs w:val="28"/>
          <w:lang w:val="uk-UA"/>
        </w:rPr>
        <w:t>:</w:t>
      </w:r>
    </w:p>
    <w:p w:rsidR="000F61CA" w:rsidRPr="00DB41E7" w:rsidRDefault="000F61CA" w:rsidP="000F61CA">
      <w:pPr>
        <w:pStyle w:val="a3"/>
        <w:spacing w:before="0" w:beforeAutospacing="0" w:after="0" w:afterAutospacing="0"/>
        <w:ind w:right="23" w:firstLine="540"/>
        <w:jc w:val="both"/>
        <w:rPr>
          <w:sz w:val="28"/>
          <w:szCs w:val="28"/>
          <w:lang w:val="uk-UA"/>
        </w:rPr>
      </w:pPr>
      <w:r w:rsidRPr="00DB41E7">
        <w:rPr>
          <w:sz w:val="28"/>
          <w:szCs w:val="28"/>
          <w:lang w:val="uk-UA"/>
        </w:rPr>
        <w:t xml:space="preserve">запропонувати Міністерству </w:t>
      </w:r>
      <w:r w:rsidR="00DB41E7" w:rsidRPr="00DB41E7">
        <w:rPr>
          <w:sz w:val="28"/>
          <w:szCs w:val="28"/>
          <w:lang w:val="uk-UA"/>
        </w:rPr>
        <w:t>соціальної</w:t>
      </w:r>
      <w:r w:rsidRPr="00DB41E7">
        <w:rPr>
          <w:sz w:val="28"/>
          <w:szCs w:val="28"/>
          <w:lang w:val="uk-UA"/>
        </w:rPr>
        <w:t xml:space="preserve"> </w:t>
      </w:r>
      <w:r w:rsidR="00DB41E7" w:rsidRPr="00DB41E7">
        <w:rPr>
          <w:sz w:val="28"/>
          <w:szCs w:val="28"/>
          <w:lang w:val="uk-UA"/>
        </w:rPr>
        <w:t>політики</w:t>
      </w:r>
      <w:r w:rsidRPr="00DB41E7">
        <w:rPr>
          <w:sz w:val="28"/>
          <w:szCs w:val="28"/>
          <w:lang w:val="uk-UA"/>
        </w:rPr>
        <w:t xml:space="preserve"> України </w:t>
      </w:r>
      <w:r w:rsidR="00DB41E7" w:rsidRPr="00DB41E7">
        <w:rPr>
          <w:sz w:val="28"/>
          <w:szCs w:val="28"/>
          <w:lang w:val="uk-UA"/>
        </w:rPr>
        <w:t>визнати таким, що втратив чинність</w:t>
      </w:r>
      <w:r w:rsidRPr="00DB41E7">
        <w:rPr>
          <w:sz w:val="28"/>
          <w:szCs w:val="28"/>
          <w:lang w:val="uk-UA"/>
        </w:rPr>
        <w:t xml:space="preserve"> наказ </w:t>
      </w:r>
      <w:r w:rsidR="00DB41E7" w:rsidRPr="00DB41E7">
        <w:rPr>
          <w:sz w:val="28"/>
          <w:szCs w:val="28"/>
          <w:lang w:val="uk-UA"/>
        </w:rPr>
        <w:t>Державного комітету України з промислової безпеки, охорони праці та гірничого нагляду від 20.12.2006 № 16 «Про затвердження Порядку атестації фахівців, які мають право проводити технічний огляд та/або експертне обстеження устаткування підвищеної небезпеки»</w:t>
      </w:r>
      <w:r w:rsidRPr="00DB41E7">
        <w:rPr>
          <w:sz w:val="28"/>
          <w:szCs w:val="28"/>
          <w:lang w:val="uk-UA"/>
        </w:rPr>
        <w:t xml:space="preserve">, оскільки </w:t>
      </w:r>
      <w:r w:rsidR="005251A2">
        <w:rPr>
          <w:sz w:val="28"/>
          <w:szCs w:val="28"/>
          <w:lang w:val="uk-UA"/>
        </w:rPr>
        <w:t>його</w:t>
      </w:r>
      <w:r w:rsidRPr="00DB41E7">
        <w:rPr>
          <w:sz w:val="28"/>
          <w:szCs w:val="28"/>
          <w:lang w:val="uk-UA"/>
        </w:rPr>
        <w:t xml:space="preserve"> положення не відповідають вимогам чинного законодавства та принципам державної регуляторної політики.</w:t>
      </w:r>
    </w:p>
    <w:p w:rsidR="000F61CA" w:rsidRPr="00DB41E7" w:rsidRDefault="000F61CA" w:rsidP="000F61CA">
      <w:pPr>
        <w:pStyle w:val="a3"/>
        <w:spacing w:before="0" w:beforeAutospacing="0" w:after="0" w:afterAutospacing="0"/>
        <w:ind w:right="23" w:firstLine="540"/>
        <w:jc w:val="both"/>
        <w:rPr>
          <w:sz w:val="28"/>
          <w:szCs w:val="28"/>
          <w:lang w:val="uk-UA"/>
        </w:rPr>
      </w:pPr>
    </w:p>
    <w:p w:rsidR="000F61CA" w:rsidRPr="00820BC8" w:rsidRDefault="000F61CA" w:rsidP="000F61CA">
      <w:pPr>
        <w:pStyle w:val="a3"/>
        <w:spacing w:before="0" w:beforeAutospacing="0" w:after="0" w:afterAutospacing="0"/>
        <w:ind w:right="23" w:firstLine="540"/>
        <w:jc w:val="both"/>
        <w:rPr>
          <w:sz w:val="28"/>
          <w:szCs w:val="28"/>
          <w:lang w:val="uk-UA"/>
        </w:rPr>
      </w:pPr>
      <w:r w:rsidRPr="00820BC8">
        <w:rPr>
          <w:sz w:val="28"/>
          <w:szCs w:val="28"/>
          <w:lang w:val="uk-UA"/>
        </w:rPr>
        <w:t xml:space="preserve">Рішення Державної </w:t>
      </w:r>
      <w:r>
        <w:rPr>
          <w:sz w:val="28"/>
          <w:szCs w:val="28"/>
          <w:lang w:val="uk-UA"/>
        </w:rPr>
        <w:t xml:space="preserve">регуляторної </w:t>
      </w:r>
      <w:r w:rsidRPr="00820BC8">
        <w:rPr>
          <w:sz w:val="28"/>
          <w:szCs w:val="28"/>
          <w:lang w:val="uk-UA"/>
        </w:rPr>
        <w:t xml:space="preserve">служби України щодо усунення порушень принципів державної регуляторної політики підлягає виконанню у порядку, визначеному статтею 28 Закону, у двомісячний строк з дня прийняття такого рішення. </w:t>
      </w:r>
    </w:p>
    <w:p w:rsidR="000F61CA" w:rsidRPr="002E7362" w:rsidRDefault="000F61CA" w:rsidP="000F61CA">
      <w:pPr>
        <w:pStyle w:val="a3"/>
        <w:spacing w:before="0" w:beforeAutospacing="0" w:after="0" w:afterAutospacing="0"/>
        <w:ind w:right="23" w:firstLine="540"/>
        <w:jc w:val="both"/>
        <w:rPr>
          <w:sz w:val="28"/>
          <w:szCs w:val="28"/>
          <w:lang w:val="uk-UA"/>
        </w:rPr>
      </w:pPr>
      <w:r w:rsidRPr="002E7362">
        <w:rPr>
          <w:sz w:val="28"/>
          <w:szCs w:val="28"/>
          <w:lang w:val="uk-UA"/>
        </w:rPr>
        <w:t xml:space="preserve">Виконання цього рішення передбачає підготовку проекту акта про </w:t>
      </w:r>
      <w:r w:rsidR="002E7362">
        <w:rPr>
          <w:sz w:val="28"/>
          <w:szCs w:val="28"/>
          <w:lang w:val="uk-UA"/>
        </w:rPr>
        <w:t xml:space="preserve">визнання таким, </w:t>
      </w:r>
      <w:r w:rsidR="00A9123C" w:rsidRPr="00A9123C">
        <w:rPr>
          <w:sz w:val="28"/>
          <w:szCs w:val="28"/>
          <w:lang w:val="uk-UA"/>
        </w:rPr>
        <w:t xml:space="preserve">що втратив </w:t>
      </w:r>
      <w:r w:rsidR="002E7362">
        <w:rPr>
          <w:sz w:val="28"/>
          <w:szCs w:val="28"/>
          <w:lang w:val="uk-UA"/>
        </w:rPr>
        <w:t xml:space="preserve">чинність </w:t>
      </w:r>
      <w:r w:rsidR="002E7362" w:rsidRPr="002E7362">
        <w:rPr>
          <w:sz w:val="28"/>
          <w:szCs w:val="28"/>
          <w:lang w:val="uk-UA"/>
        </w:rPr>
        <w:t>наказу Державного комітету України з промислової безпеки, охорони праці та гірничого нагляду від 20.12.2006 № 16 «Про затвердження Порядку атестації фахівців, які мають право проводити технічний огляд та/або експертне обстеження устаткування підвищеної небезпеки»</w:t>
      </w:r>
      <w:r w:rsidR="00905DA9" w:rsidRPr="00905DA9">
        <w:rPr>
          <w:sz w:val="28"/>
          <w:szCs w:val="28"/>
          <w:lang w:val="uk-UA"/>
        </w:rPr>
        <w:t xml:space="preserve"> </w:t>
      </w:r>
      <w:r w:rsidR="00905DA9">
        <w:rPr>
          <w:sz w:val="28"/>
          <w:szCs w:val="28"/>
          <w:lang w:val="uk-UA"/>
        </w:rPr>
        <w:t xml:space="preserve">та </w:t>
      </w:r>
      <w:r w:rsidR="00905DA9" w:rsidRPr="00A9123C">
        <w:rPr>
          <w:sz w:val="28"/>
          <w:szCs w:val="28"/>
          <w:lang w:val="uk-UA"/>
        </w:rPr>
        <w:t>пода</w:t>
      </w:r>
      <w:r w:rsidR="00905DA9">
        <w:rPr>
          <w:sz w:val="28"/>
          <w:szCs w:val="28"/>
          <w:lang w:val="uk-UA"/>
        </w:rPr>
        <w:t>ння до уповноваженого органу копії</w:t>
      </w:r>
      <w:r w:rsidR="00905DA9" w:rsidRPr="00A9123C">
        <w:rPr>
          <w:sz w:val="28"/>
          <w:szCs w:val="28"/>
          <w:lang w:val="uk-UA"/>
        </w:rPr>
        <w:t xml:space="preserve"> акта про визнання таким, що втратив чинність, цього регуляторного акта</w:t>
      </w:r>
      <w:r w:rsidR="00905DA9" w:rsidRPr="00905DA9">
        <w:rPr>
          <w:sz w:val="28"/>
          <w:szCs w:val="28"/>
          <w:lang w:val="uk-UA"/>
        </w:rPr>
        <w:t xml:space="preserve"> </w:t>
      </w:r>
      <w:r w:rsidR="00905DA9" w:rsidRPr="00A9123C">
        <w:rPr>
          <w:sz w:val="28"/>
          <w:szCs w:val="28"/>
          <w:lang w:val="uk-UA"/>
        </w:rPr>
        <w:t xml:space="preserve">не </w:t>
      </w:r>
      <w:r w:rsidR="00905DA9" w:rsidRPr="002E7362">
        <w:rPr>
          <w:sz w:val="28"/>
          <w:szCs w:val="28"/>
          <w:lang w:val="uk-UA"/>
        </w:rPr>
        <w:t>пізніше одного робочого дня до закінчення строку</w:t>
      </w:r>
      <w:r w:rsidR="00905DA9" w:rsidRPr="00A9123C">
        <w:rPr>
          <w:sz w:val="28"/>
          <w:szCs w:val="28"/>
          <w:lang w:val="uk-UA"/>
        </w:rPr>
        <w:t xml:space="preserve"> виконання відповідного рішенн</w:t>
      </w:r>
      <w:r w:rsidR="00905DA9">
        <w:rPr>
          <w:sz w:val="28"/>
          <w:szCs w:val="28"/>
          <w:lang w:val="uk-UA"/>
        </w:rPr>
        <w:t>я</w:t>
      </w:r>
      <w:r w:rsidR="002E7362" w:rsidRPr="002E7362">
        <w:rPr>
          <w:sz w:val="28"/>
          <w:szCs w:val="28"/>
          <w:lang w:val="uk-UA"/>
        </w:rPr>
        <w:t xml:space="preserve">. </w:t>
      </w:r>
    </w:p>
    <w:p w:rsidR="000F61CA" w:rsidRPr="00820BC8" w:rsidRDefault="000F61CA" w:rsidP="000F61CA">
      <w:pPr>
        <w:pStyle w:val="a3"/>
        <w:spacing w:before="0" w:beforeAutospacing="0" w:after="0" w:afterAutospacing="0"/>
        <w:ind w:right="23" w:firstLine="540"/>
        <w:jc w:val="both"/>
        <w:rPr>
          <w:sz w:val="28"/>
          <w:szCs w:val="28"/>
          <w:lang w:val="uk-UA"/>
        </w:rPr>
      </w:pPr>
      <w:r w:rsidRPr="00820BC8">
        <w:rPr>
          <w:sz w:val="28"/>
          <w:szCs w:val="28"/>
          <w:lang w:val="uk-UA"/>
        </w:rPr>
        <w:t xml:space="preserve">У разі невиконання рішення уповноваженого органу про необхідність усунення порушень принципів державної </w:t>
      </w:r>
      <w:r>
        <w:rPr>
          <w:sz w:val="28"/>
          <w:szCs w:val="28"/>
          <w:lang w:val="uk-UA"/>
        </w:rPr>
        <w:t>регуляторної політики або не</w:t>
      </w:r>
      <w:r w:rsidRPr="00820BC8">
        <w:rPr>
          <w:sz w:val="28"/>
          <w:szCs w:val="28"/>
          <w:lang w:val="uk-UA"/>
        </w:rPr>
        <w:t>оскарження цього рішення органом виконавчої влади протягом встановленого в Законі строку, дія регуляторного акта</w:t>
      </w:r>
      <w:r w:rsidRPr="00AB513F">
        <w:rPr>
          <w:lang w:val="uk-UA"/>
        </w:rPr>
        <w:t xml:space="preserve"> </w:t>
      </w:r>
      <w:r w:rsidRPr="00AB513F">
        <w:rPr>
          <w:sz w:val="28"/>
          <w:szCs w:val="28"/>
          <w:lang w:val="uk-UA"/>
        </w:rPr>
        <w:t>або окремих його положень, щодо яких</w:t>
      </w:r>
      <w:r w:rsidRPr="00820BC8">
        <w:rPr>
          <w:sz w:val="28"/>
          <w:szCs w:val="28"/>
          <w:lang w:val="uk-UA"/>
        </w:rPr>
        <w:t xml:space="preserve"> було прийнято відповідне рішення, зупиняється наступного дня з дня закінчення строку виконання такого рішення.</w:t>
      </w:r>
    </w:p>
    <w:p w:rsidR="000F61CA" w:rsidRPr="00820BC8" w:rsidRDefault="000F61CA" w:rsidP="000F61CA">
      <w:pPr>
        <w:pStyle w:val="a3"/>
        <w:spacing w:before="0" w:beforeAutospacing="0" w:after="0" w:afterAutospacing="0"/>
        <w:ind w:right="23" w:firstLine="540"/>
        <w:jc w:val="both"/>
        <w:rPr>
          <w:sz w:val="28"/>
          <w:szCs w:val="28"/>
          <w:lang w:val="uk-UA"/>
        </w:rPr>
      </w:pPr>
      <w:r w:rsidRPr="00820BC8">
        <w:rPr>
          <w:sz w:val="28"/>
          <w:szCs w:val="28"/>
          <w:lang w:val="uk-UA"/>
        </w:rPr>
        <w:t>Подання скарги щодо рішення уповноваженого органу не зупиняє дії цього рішення.</w:t>
      </w:r>
    </w:p>
    <w:p w:rsidR="000F61CA" w:rsidRDefault="000F61CA" w:rsidP="000F61CA">
      <w:pPr>
        <w:ind w:right="-766"/>
        <w:rPr>
          <w:b/>
          <w:bCs/>
          <w:lang w:val="uk-UA"/>
        </w:rPr>
      </w:pPr>
      <w:r w:rsidRPr="00DA62B9">
        <w:rPr>
          <w:b/>
          <w:bCs/>
          <w:lang w:val="uk-UA"/>
        </w:rPr>
        <w:t> </w:t>
      </w:r>
    </w:p>
    <w:p w:rsidR="000F61CA" w:rsidRPr="00076772" w:rsidRDefault="000F61CA" w:rsidP="000F61CA">
      <w:pPr>
        <w:ind w:right="-766"/>
        <w:rPr>
          <w:b/>
          <w:bCs/>
          <w:lang w:val="uk-UA"/>
        </w:rPr>
      </w:pPr>
    </w:p>
    <w:tbl>
      <w:tblPr>
        <w:tblW w:w="5036" w:type="pct"/>
        <w:tblCellSpacing w:w="22" w:type="dxa"/>
        <w:tblCellMar>
          <w:top w:w="30" w:type="dxa"/>
          <w:left w:w="30" w:type="dxa"/>
          <w:bottom w:w="30" w:type="dxa"/>
          <w:right w:w="30" w:type="dxa"/>
        </w:tblCellMar>
        <w:tblLook w:val="0000"/>
      </w:tblPr>
      <w:tblGrid>
        <w:gridCol w:w="4102"/>
        <w:gridCol w:w="5613"/>
      </w:tblGrid>
      <w:tr w:rsidR="000F61CA" w:rsidRPr="007250D4" w:rsidTr="00803C8E">
        <w:trPr>
          <w:tblCellSpacing w:w="22" w:type="dxa"/>
        </w:trPr>
        <w:tc>
          <w:tcPr>
            <w:tcW w:w="2077" w:type="pct"/>
            <w:vAlign w:val="center"/>
          </w:tcPr>
          <w:p w:rsidR="000F61CA" w:rsidRDefault="000F61CA" w:rsidP="00803C8E">
            <w:pPr>
              <w:pStyle w:val="a4"/>
              <w:ind w:right="23"/>
              <w:jc w:val="left"/>
              <w:rPr>
                <w:b/>
                <w:szCs w:val="28"/>
              </w:rPr>
            </w:pPr>
            <w:r w:rsidRPr="009027A7">
              <w:rPr>
                <w:b/>
                <w:szCs w:val="28"/>
              </w:rPr>
              <w:t>Голо</w:t>
            </w:r>
            <w:r>
              <w:rPr>
                <w:b/>
                <w:szCs w:val="28"/>
              </w:rPr>
              <w:t>в</w:t>
            </w:r>
            <w:r w:rsidR="00DB41E7">
              <w:rPr>
                <w:b/>
                <w:szCs w:val="28"/>
              </w:rPr>
              <w:t>а</w:t>
            </w:r>
          </w:p>
          <w:p w:rsidR="000F61CA" w:rsidRDefault="000F61CA" w:rsidP="00803C8E">
            <w:pPr>
              <w:pStyle w:val="a4"/>
              <w:ind w:right="23"/>
              <w:jc w:val="left"/>
              <w:rPr>
                <w:b/>
                <w:szCs w:val="28"/>
              </w:rPr>
            </w:pPr>
            <w:r w:rsidRPr="009027A7">
              <w:rPr>
                <w:b/>
                <w:szCs w:val="28"/>
              </w:rPr>
              <w:t xml:space="preserve">Державної регуляторної </w:t>
            </w:r>
          </w:p>
          <w:p w:rsidR="000F61CA" w:rsidRPr="009027A7" w:rsidRDefault="000F61CA" w:rsidP="00803C8E">
            <w:pPr>
              <w:pStyle w:val="a4"/>
              <w:ind w:right="23"/>
              <w:rPr>
                <w:szCs w:val="28"/>
              </w:rPr>
            </w:pPr>
            <w:r w:rsidRPr="009027A7">
              <w:rPr>
                <w:b/>
                <w:szCs w:val="28"/>
              </w:rPr>
              <w:t xml:space="preserve">служби України </w:t>
            </w:r>
          </w:p>
        </w:tc>
        <w:tc>
          <w:tcPr>
            <w:tcW w:w="2854" w:type="pct"/>
            <w:vAlign w:val="center"/>
          </w:tcPr>
          <w:p w:rsidR="000F61CA" w:rsidRDefault="000F61CA" w:rsidP="00803C8E">
            <w:pPr>
              <w:pStyle w:val="a4"/>
              <w:ind w:right="23"/>
              <w:jc w:val="left"/>
              <w:rPr>
                <w:b/>
                <w:szCs w:val="28"/>
                <w:lang w:val="ru-RU"/>
              </w:rPr>
            </w:pPr>
            <w:r w:rsidRPr="007250D4">
              <w:rPr>
                <w:b/>
                <w:szCs w:val="28"/>
                <w:lang w:val="ru-RU"/>
              </w:rPr>
              <w:t xml:space="preserve">  </w:t>
            </w:r>
            <w:r>
              <w:rPr>
                <w:b/>
                <w:szCs w:val="28"/>
                <w:lang w:val="ru-RU"/>
              </w:rPr>
              <w:t xml:space="preserve"> </w:t>
            </w:r>
          </w:p>
          <w:p w:rsidR="000F61CA" w:rsidRDefault="000F61CA" w:rsidP="00803C8E">
            <w:pPr>
              <w:pStyle w:val="a4"/>
              <w:ind w:right="23"/>
              <w:jc w:val="left"/>
              <w:rPr>
                <w:b/>
                <w:szCs w:val="28"/>
                <w:lang w:val="ru-RU"/>
              </w:rPr>
            </w:pPr>
          </w:p>
          <w:p w:rsidR="000F61CA" w:rsidRPr="0028675D" w:rsidRDefault="000F61CA" w:rsidP="00803C8E">
            <w:pPr>
              <w:pStyle w:val="a4"/>
              <w:ind w:right="23"/>
              <w:jc w:val="left"/>
              <w:rPr>
                <w:b/>
                <w:szCs w:val="28"/>
                <w:lang w:val="ru-RU"/>
              </w:rPr>
            </w:pPr>
            <w:r>
              <w:rPr>
                <w:b/>
                <w:szCs w:val="28"/>
                <w:lang w:val="ru-RU"/>
              </w:rPr>
              <w:t xml:space="preserve">                                                </w:t>
            </w:r>
            <w:r w:rsidR="00DB41E7">
              <w:rPr>
                <w:b/>
                <w:szCs w:val="28"/>
                <w:lang w:val="ru-RU"/>
              </w:rPr>
              <w:t>К. М. Ляпіна</w:t>
            </w:r>
          </w:p>
        </w:tc>
      </w:tr>
    </w:tbl>
    <w:p w:rsidR="00FD3B9E" w:rsidRPr="009D3066" w:rsidRDefault="00FD3B9E">
      <w:pPr>
        <w:rPr>
          <w:lang w:val="uk-UA"/>
        </w:rPr>
      </w:pPr>
      <w:bookmarkStart w:id="0" w:name="_GoBack"/>
      <w:bookmarkEnd w:id="0"/>
    </w:p>
    <w:sectPr w:rsidR="00FD3B9E" w:rsidRPr="009D3066" w:rsidSect="00AA2D7B">
      <w:headerReference w:type="even" r:id="rId7"/>
      <w:headerReference w:type="default" r:id="rId8"/>
      <w:footerReference w:type="even" r:id="rId9"/>
      <w:pgSz w:w="11906" w:h="16838"/>
      <w:pgMar w:top="1106" w:right="70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5FF" w:rsidRDefault="009665FF" w:rsidP="0003399D">
      <w:r>
        <w:separator/>
      </w:r>
    </w:p>
  </w:endnote>
  <w:endnote w:type="continuationSeparator" w:id="1">
    <w:p w:rsidR="009665FF" w:rsidRDefault="009665FF" w:rsidP="000339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8C" w:rsidRDefault="007454EB" w:rsidP="00803C8E">
    <w:pPr>
      <w:pStyle w:val="a6"/>
      <w:framePr w:wrap="around" w:vAnchor="text" w:hAnchor="margin" w:xAlign="right" w:y="1"/>
      <w:rPr>
        <w:rStyle w:val="a8"/>
      </w:rPr>
    </w:pPr>
    <w:r>
      <w:rPr>
        <w:rStyle w:val="a8"/>
      </w:rPr>
      <w:fldChar w:fldCharType="begin"/>
    </w:r>
    <w:r w:rsidR="0092028C">
      <w:rPr>
        <w:rStyle w:val="a8"/>
      </w:rPr>
      <w:instrText xml:space="preserve">PAGE  </w:instrText>
    </w:r>
    <w:r>
      <w:rPr>
        <w:rStyle w:val="a8"/>
      </w:rPr>
      <w:fldChar w:fldCharType="end"/>
    </w:r>
  </w:p>
  <w:p w:rsidR="0092028C" w:rsidRDefault="0092028C" w:rsidP="00803C8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5FF" w:rsidRDefault="009665FF" w:rsidP="0003399D">
      <w:r>
        <w:separator/>
      </w:r>
    </w:p>
  </w:footnote>
  <w:footnote w:type="continuationSeparator" w:id="1">
    <w:p w:rsidR="009665FF" w:rsidRDefault="009665FF" w:rsidP="000339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28C" w:rsidRDefault="007454EB" w:rsidP="00803C8E">
    <w:pPr>
      <w:pStyle w:val="a9"/>
      <w:framePr w:wrap="around" w:vAnchor="text" w:hAnchor="margin" w:xAlign="center" w:y="1"/>
      <w:rPr>
        <w:rStyle w:val="a8"/>
      </w:rPr>
    </w:pPr>
    <w:r>
      <w:rPr>
        <w:rStyle w:val="a8"/>
      </w:rPr>
      <w:fldChar w:fldCharType="begin"/>
    </w:r>
    <w:r w:rsidR="0092028C">
      <w:rPr>
        <w:rStyle w:val="a8"/>
      </w:rPr>
      <w:instrText xml:space="preserve">PAGE  </w:instrText>
    </w:r>
    <w:r>
      <w:rPr>
        <w:rStyle w:val="a8"/>
      </w:rPr>
      <w:fldChar w:fldCharType="end"/>
    </w:r>
  </w:p>
  <w:p w:rsidR="0092028C" w:rsidRDefault="0092028C">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94254"/>
      <w:docPartObj>
        <w:docPartGallery w:val="Page Numbers (Top of Page)"/>
        <w:docPartUnique/>
      </w:docPartObj>
    </w:sdtPr>
    <w:sdtContent>
      <w:p w:rsidR="00FD3B9E" w:rsidRDefault="007454EB">
        <w:pPr>
          <w:pStyle w:val="a9"/>
          <w:jc w:val="center"/>
        </w:pPr>
        <w:r>
          <w:fldChar w:fldCharType="begin"/>
        </w:r>
        <w:r w:rsidR="00FD3B9E">
          <w:instrText>PAGE   \* MERGEFORMAT</w:instrText>
        </w:r>
        <w:r>
          <w:fldChar w:fldCharType="separate"/>
        </w:r>
        <w:r w:rsidR="00023F87">
          <w:rPr>
            <w:noProof/>
          </w:rPr>
          <w:t>2</w:t>
        </w:r>
        <w:r>
          <w:fldChar w:fldCharType="end"/>
        </w:r>
      </w:p>
    </w:sdtContent>
  </w:sdt>
  <w:p w:rsidR="0092028C" w:rsidRPr="00AA2D7B" w:rsidRDefault="0092028C" w:rsidP="00AA2D7B">
    <w:pPr>
      <w:pStyle w:val="a9"/>
      <w:jc w:val="center"/>
      <w:rPr>
        <w:noProof/>
        <w:lang w:val="uk-U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F61CA"/>
    <w:rsid w:val="00023F87"/>
    <w:rsid w:val="00027811"/>
    <w:rsid w:val="00030159"/>
    <w:rsid w:val="0003399D"/>
    <w:rsid w:val="000340AB"/>
    <w:rsid w:val="00040EC7"/>
    <w:rsid w:val="000913CD"/>
    <w:rsid w:val="000A5F07"/>
    <w:rsid w:val="000C24F3"/>
    <w:rsid w:val="000E6C35"/>
    <w:rsid w:val="000F39B7"/>
    <w:rsid w:val="000F61CA"/>
    <w:rsid w:val="001147FC"/>
    <w:rsid w:val="001170B4"/>
    <w:rsid w:val="00133FD1"/>
    <w:rsid w:val="001340B7"/>
    <w:rsid w:val="00136461"/>
    <w:rsid w:val="00144749"/>
    <w:rsid w:val="00197888"/>
    <w:rsid w:val="001A3578"/>
    <w:rsid w:val="001B3EF1"/>
    <w:rsid w:val="001D6516"/>
    <w:rsid w:val="00212264"/>
    <w:rsid w:val="0025341D"/>
    <w:rsid w:val="0025655E"/>
    <w:rsid w:val="002576BA"/>
    <w:rsid w:val="00271B2E"/>
    <w:rsid w:val="002A1111"/>
    <w:rsid w:val="002A442D"/>
    <w:rsid w:val="002C6657"/>
    <w:rsid w:val="002D2B56"/>
    <w:rsid w:val="002E7362"/>
    <w:rsid w:val="002E7D5B"/>
    <w:rsid w:val="00312CCD"/>
    <w:rsid w:val="003238C9"/>
    <w:rsid w:val="00336C85"/>
    <w:rsid w:val="00352C9D"/>
    <w:rsid w:val="00370079"/>
    <w:rsid w:val="00377DC9"/>
    <w:rsid w:val="003C07A4"/>
    <w:rsid w:val="003C6711"/>
    <w:rsid w:val="003D3419"/>
    <w:rsid w:val="003E7C06"/>
    <w:rsid w:val="003F70E2"/>
    <w:rsid w:val="00491D4A"/>
    <w:rsid w:val="004B7A83"/>
    <w:rsid w:val="004D2F34"/>
    <w:rsid w:val="005012F5"/>
    <w:rsid w:val="005251A2"/>
    <w:rsid w:val="00545EBD"/>
    <w:rsid w:val="005621DE"/>
    <w:rsid w:val="00575FF4"/>
    <w:rsid w:val="00586F6C"/>
    <w:rsid w:val="0059234D"/>
    <w:rsid w:val="005A50B7"/>
    <w:rsid w:val="005E0AC7"/>
    <w:rsid w:val="005E6A43"/>
    <w:rsid w:val="005F32D6"/>
    <w:rsid w:val="005F6A36"/>
    <w:rsid w:val="00631C3E"/>
    <w:rsid w:val="006518BC"/>
    <w:rsid w:val="00681A19"/>
    <w:rsid w:val="006A0734"/>
    <w:rsid w:val="006A0C02"/>
    <w:rsid w:val="006B1BC3"/>
    <w:rsid w:val="006C41B1"/>
    <w:rsid w:val="006E4BE0"/>
    <w:rsid w:val="007454EB"/>
    <w:rsid w:val="00780DA0"/>
    <w:rsid w:val="00782CFC"/>
    <w:rsid w:val="00803C8E"/>
    <w:rsid w:val="00804A57"/>
    <w:rsid w:val="008230C5"/>
    <w:rsid w:val="008824E8"/>
    <w:rsid w:val="00887FAD"/>
    <w:rsid w:val="008D1439"/>
    <w:rsid w:val="00905DA9"/>
    <w:rsid w:val="009150CB"/>
    <w:rsid w:val="00916636"/>
    <w:rsid w:val="0092028C"/>
    <w:rsid w:val="009665FF"/>
    <w:rsid w:val="009800DF"/>
    <w:rsid w:val="00985A8D"/>
    <w:rsid w:val="009A0B24"/>
    <w:rsid w:val="009D3066"/>
    <w:rsid w:val="00A464FD"/>
    <w:rsid w:val="00A725D8"/>
    <w:rsid w:val="00A868F7"/>
    <w:rsid w:val="00A9123C"/>
    <w:rsid w:val="00AA2D7B"/>
    <w:rsid w:val="00AD28F2"/>
    <w:rsid w:val="00AD6D8D"/>
    <w:rsid w:val="00AE208F"/>
    <w:rsid w:val="00B255FD"/>
    <w:rsid w:val="00B373F4"/>
    <w:rsid w:val="00B67C78"/>
    <w:rsid w:val="00B71660"/>
    <w:rsid w:val="00B74054"/>
    <w:rsid w:val="00B90EC4"/>
    <w:rsid w:val="00BB1267"/>
    <w:rsid w:val="00BC4482"/>
    <w:rsid w:val="00BE7C40"/>
    <w:rsid w:val="00BF6CEB"/>
    <w:rsid w:val="00C10517"/>
    <w:rsid w:val="00C17D6E"/>
    <w:rsid w:val="00C41855"/>
    <w:rsid w:val="00C61DF9"/>
    <w:rsid w:val="00C77403"/>
    <w:rsid w:val="00CA434F"/>
    <w:rsid w:val="00CB76F4"/>
    <w:rsid w:val="00CC1EC1"/>
    <w:rsid w:val="00CC7436"/>
    <w:rsid w:val="00CE67A9"/>
    <w:rsid w:val="00D14ADD"/>
    <w:rsid w:val="00D412AE"/>
    <w:rsid w:val="00D80EE5"/>
    <w:rsid w:val="00D85044"/>
    <w:rsid w:val="00D8692C"/>
    <w:rsid w:val="00DB41E7"/>
    <w:rsid w:val="00DB5585"/>
    <w:rsid w:val="00DC7160"/>
    <w:rsid w:val="00DE750E"/>
    <w:rsid w:val="00E001A1"/>
    <w:rsid w:val="00E3319B"/>
    <w:rsid w:val="00E509C0"/>
    <w:rsid w:val="00E55A01"/>
    <w:rsid w:val="00E935FB"/>
    <w:rsid w:val="00EA3A6D"/>
    <w:rsid w:val="00F541AA"/>
    <w:rsid w:val="00F56D3D"/>
    <w:rsid w:val="00F657F6"/>
    <w:rsid w:val="00F75F3E"/>
    <w:rsid w:val="00F92A56"/>
    <w:rsid w:val="00FA3654"/>
    <w:rsid w:val="00FB08D4"/>
    <w:rsid w:val="00FD3B9E"/>
    <w:rsid w:val="00FF1AEC"/>
    <w:rsid w:val="00FF5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5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F61C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61CA"/>
    <w:rPr>
      <w:rFonts w:ascii="Times New Roman" w:eastAsia="Times New Roman" w:hAnsi="Times New Roman" w:cs="Times New Roman"/>
      <w:b/>
      <w:bCs/>
      <w:sz w:val="36"/>
      <w:szCs w:val="36"/>
      <w:lang w:eastAsia="ru-RU"/>
    </w:rPr>
  </w:style>
  <w:style w:type="paragraph" w:styleId="a3">
    <w:name w:val="Normal (Web)"/>
    <w:basedOn w:val="a"/>
    <w:uiPriority w:val="99"/>
    <w:rsid w:val="000F61CA"/>
    <w:pPr>
      <w:spacing w:before="100" w:beforeAutospacing="1" w:after="100" w:afterAutospacing="1"/>
    </w:pPr>
  </w:style>
  <w:style w:type="paragraph" w:customStyle="1" w:styleId="14">
    <w:name w:val="Обычный + 14 пт"/>
    <w:aliases w:val="По ширине,Первая строка:  1,25 см,Междустр.интервал:  множ..."/>
    <w:basedOn w:val="a"/>
    <w:rsid w:val="000F61CA"/>
    <w:pPr>
      <w:widowControl w:val="0"/>
      <w:tabs>
        <w:tab w:val="left" w:pos="5655"/>
        <w:tab w:val="right" w:pos="8787"/>
      </w:tabs>
      <w:autoSpaceDE w:val="0"/>
      <w:autoSpaceDN w:val="0"/>
      <w:adjustRightInd w:val="0"/>
      <w:ind w:firstLine="709"/>
      <w:jc w:val="both"/>
    </w:pPr>
    <w:rPr>
      <w:sz w:val="28"/>
      <w:szCs w:val="28"/>
      <w:lang w:val="uk-UA"/>
    </w:rPr>
  </w:style>
  <w:style w:type="paragraph" w:styleId="a4">
    <w:name w:val="Body Text"/>
    <w:basedOn w:val="a"/>
    <w:link w:val="a5"/>
    <w:rsid w:val="000F61CA"/>
    <w:pPr>
      <w:jc w:val="both"/>
    </w:pPr>
    <w:rPr>
      <w:sz w:val="28"/>
      <w:lang w:val="uk-UA"/>
    </w:rPr>
  </w:style>
  <w:style w:type="character" w:customStyle="1" w:styleId="a5">
    <w:name w:val="Основной текст Знак"/>
    <w:basedOn w:val="a0"/>
    <w:link w:val="a4"/>
    <w:rsid w:val="000F61CA"/>
    <w:rPr>
      <w:rFonts w:ascii="Times New Roman" w:eastAsia="Times New Roman" w:hAnsi="Times New Roman" w:cs="Times New Roman"/>
      <w:sz w:val="28"/>
      <w:szCs w:val="24"/>
      <w:lang w:val="uk-UA" w:eastAsia="ru-RU"/>
    </w:rPr>
  </w:style>
  <w:style w:type="paragraph" w:styleId="a6">
    <w:name w:val="footer"/>
    <w:basedOn w:val="a"/>
    <w:link w:val="a7"/>
    <w:rsid w:val="000F61CA"/>
    <w:pPr>
      <w:tabs>
        <w:tab w:val="center" w:pos="4677"/>
        <w:tab w:val="right" w:pos="9355"/>
      </w:tabs>
    </w:pPr>
  </w:style>
  <w:style w:type="character" w:customStyle="1" w:styleId="a7">
    <w:name w:val="Нижний колонтитул Знак"/>
    <w:basedOn w:val="a0"/>
    <w:link w:val="a6"/>
    <w:rsid w:val="000F61CA"/>
    <w:rPr>
      <w:rFonts w:ascii="Times New Roman" w:eastAsia="Times New Roman" w:hAnsi="Times New Roman" w:cs="Times New Roman"/>
      <w:sz w:val="24"/>
      <w:szCs w:val="24"/>
      <w:lang w:eastAsia="ru-RU"/>
    </w:rPr>
  </w:style>
  <w:style w:type="character" w:styleId="a8">
    <w:name w:val="page number"/>
    <w:basedOn w:val="a0"/>
    <w:rsid w:val="000F61CA"/>
  </w:style>
  <w:style w:type="paragraph" w:styleId="a9">
    <w:name w:val="header"/>
    <w:basedOn w:val="a"/>
    <w:link w:val="aa"/>
    <w:uiPriority w:val="99"/>
    <w:rsid w:val="000F61CA"/>
    <w:pPr>
      <w:tabs>
        <w:tab w:val="center" w:pos="4677"/>
        <w:tab w:val="right" w:pos="9355"/>
      </w:tabs>
    </w:pPr>
  </w:style>
  <w:style w:type="character" w:customStyle="1" w:styleId="aa">
    <w:name w:val="Верхний колонтитул Знак"/>
    <w:basedOn w:val="a0"/>
    <w:link w:val="a9"/>
    <w:uiPriority w:val="99"/>
    <w:rsid w:val="000F61C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F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0F61CA"/>
    <w:rPr>
      <w:rFonts w:ascii="Courier New" w:eastAsia="Times New Roman" w:hAnsi="Courier New" w:cs="Courier New"/>
      <w:sz w:val="20"/>
      <w:szCs w:val="20"/>
      <w:lang w:val="uk-UA" w:eastAsia="uk-UA"/>
    </w:rPr>
  </w:style>
  <w:style w:type="paragraph" w:styleId="ab">
    <w:name w:val="Balloon Text"/>
    <w:basedOn w:val="a"/>
    <w:link w:val="ac"/>
    <w:uiPriority w:val="99"/>
    <w:semiHidden/>
    <w:unhideWhenUsed/>
    <w:rsid w:val="000F61CA"/>
    <w:rPr>
      <w:rFonts w:ascii="Tahoma" w:hAnsi="Tahoma" w:cs="Tahoma"/>
      <w:sz w:val="16"/>
      <w:szCs w:val="16"/>
    </w:rPr>
  </w:style>
  <w:style w:type="character" w:customStyle="1" w:styleId="ac">
    <w:name w:val="Текст выноски Знак"/>
    <w:basedOn w:val="a0"/>
    <w:link w:val="ab"/>
    <w:uiPriority w:val="99"/>
    <w:semiHidden/>
    <w:rsid w:val="000F61CA"/>
    <w:rPr>
      <w:rFonts w:ascii="Tahoma" w:eastAsia="Times New Roman" w:hAnsi="Tahoma" w:cs="Tahoma"/>
      <w:sz w:val="16"/>
      <w:szCs w:val="16"/>
      <w:lang w:eastAsia="ru-RU"/>
    </w:rPr>
  </w:style>
  <w:style w:type="character" w:customStyle="1" w:styleId="10">
    <w:name w:val="Заголовок 1 Знак"/>
    <w:basedOn w:val="a0"/>
    <w:link w:val="1"/>
    <w:uiPriority w:val="9"/>
    <w:rsid w:val="00C10517"/>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1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105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F61C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F61CA"/>
    <w:rPr>
      <w:rFonts w:ascii="Times New Roman" w:eastAsia="Times New Roman" w:hAnsi="Times New Roman" w:cs="Times New Roman"/>
      <w:b/>
      <w:bCs/>
      <w:sz w:val="36"/>
      <w:szCs w:val="36"/>
      <w:lang w:eastAsia="ru-RU"/>
    </w:rPr>
  </w:style>
  <w:style w:type="paragraph" w:styleId="a3">
    <w:name w:val="Normal (Web)"/>
    <w:basedOn w:val="a"/>
    <w:uiPriority w:val="99"/>
    <w:rsid w:val="000F61CA"/>
    <w:pPr>
      <w:spacing w:before="100" w:beforeAutospacing="1" w:after="100" w:afterAutospacing="1"/>
    </w:pPr>
  </w:style>
  <w:style w:type="paragraph" w:customStyle="1" w:styleId="14">
    <w:name w:val="Обычный + 14 пт"/>
    <w:aliases w:val="По ширине,Первая строка:  1,25 см,Междустр.интервал:  множ..."/>
    <w:basedOn w:val="a"/>
    <w:rsid w:val="000F61CA"/>
    <w:pPr>
      <w:widowControl w:val="0"/>
      <w:tabs>
        <w:tab w:val="left" w:pos="5655"/>
        <w:tab w:val="right" w:pos="8787"/>
      </w:tabs>
      <w:autoSpaceDE w:val="0"/>
      <w:autoSpaceDN w:val="0"/>
      <w:adjustRightInd w:val="0"/>
      <w:ind w:firstLine="709"/>
      <w:jc w:val="both"/>
    </w:pPr>
    <w:rPr>
      <w:sz w:val="28"/>
      <w:szCs w:val="28"/>
      <w:lang w:val="uk-UA"/>
    </w:rPr>
  </w:style>
  <w:style w:type="paragraph" w:styleId="a4">
    <w:name w:val="Body Text"/>
    <w:basedOn w:val="a"/>
    <w:link w:val="a5"/>
    <w:rsid w:val="000F61CA"/>
    <w:pPr>
      <w:jc w:val="both"/>
    </w:pPr>
    <w:rPr>
      <w:sz w:val="28"/>
      <w:lang w:val="uk-UA"/>
    </w:rPr>
  </w:style>
  <w:style w:type="character" w:customStyle="1" w:styleId="a5">
    <w:name w:val="Основной текст Знак"/>
    <w:basedOn w:val="a0"/>
    <w:link w:val="a4"/>
    <w:rsid w:val="000F61CA"/>
    <w:rPr>
      <w:rFonts w:ascii="Times New Roman" w:eastAsia="Times New Roman" w:hAnsi="Times New Roman" w:cs="Times New Roman"/>
      <w:sz w:val="28"/>
      <w:szCs w:val="24"/>
      <w:lang w:val="uk-UA" w:eastAsia="ru-RU"/>
    </w:rPr>
  </w:style>
  <w:style w:type="paragraph" w:styleId="a6">
    <w:name w:val="footer"/>
    <w:basedOn w:val="a"/>
    <w:link w:val="a7"/>
    <w:rsid w:val="000F61CA"/>
    <w:pPr>
      <w:tabs>
        <w:tab w:val="center" w:pos="4677"/>
        <w:tab w:val="right" w:pos="9355"/>
      </w:tabs>
    </w:pPr>
  </w:style>
  <w:style w:type="character" w:customStyle="1" w:styleId="a7">
    <w:name w:val="Нижний колонтитул Знак"/>
    <w:basedOn w:val="a0"/>
    <w:link w:val="a6"/>
    <w:rsid w:val="000F61CA"/>
    <w:rPr>
      <w:rFonts w:ascii="Times New Roman" w:eastAsia="Times New Roman" w:hAnsi="Times New Roman" w:cs="Times New Roman"/>
      <w:sz w:val="24"/>
      <w:szCs w:val="24"/>
      <w:lang w:eastAsia="ru-RU"/>
    </w:rPr>
  </w:style>
  <w:style w:type="character" w:styleId="a8">
    <w:name w:val="page number"/>
    <w:basedOn w:val="a0"/>
    <w:rsid w:val="000F61CA"/>
  </w:style>
  <w:style w:type="paragraph" w:styleId="a9">
    <w:name w:val="header"/>
    <w:basedOn w:val="a"/>
    <w:link w:val="aa"/>
    <w:uiPriority w:val="99"/>
    <w:rsid w:val="000F61CA"/>
    <w:pPr>
      <w:tabs>
        <w:tab w:val="center" w:pos="4677"/>
        <w:tab w:val="right" w:pos="9355"/>
      </w:tabs>
    </w:pPr>
  </w:style>
  <w:style w:type="character" w:customStyle="1" w:styleId="aa">
    <w:name w:val="Верхний колонтитул Знак"/>
    <w:basedOn w:val="a0"/>
    <w:link w:val="a9"/>
    <w:uiPriority w:val="99"/>
    <w:rsid w:val="000F61CA"/>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0F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0F61CA"/>
    <w:rPr>
      <w:rFonts w:ascii="Courier New" w:eastAsia="Times New Roman" w:hAnsi="Courier New" w:cs="Courier New"/>
      <w:sz w:val="20"/>
      <w:szCs w:val="20"/>
      <w:lang w:val="uk-UA" w:eastAsia="uk-UA"/>
    </w:rPr>
  </w:style>
  <w:style w:type="paragraph" w:styleId="ab">
    <w:name w:val="Balloon Text"/>
    <w:basedOn w:val="a"/>
    <w:link w:val="ac"/>
    <w:uiPriority w:val="99"/>
    <w:semiHidden/>
    <w:unhideWhenUsed/>
    <w:rsid w:val="000F61CA"/>
    <w:rPr>
      <w:rFonts w:ascii="Tahoma" w:hAnsi="Tahoma" w:cs="Tahoma"/>
      <w:sz w:val="16"/>
      <w:szCs w:val="16"/>
    </w:rPr>
  </w:style>
  <w:style w:type="character" w:customStyle="1" w:styleId="ac">
    <w:name w:val="Текст выноски Знак"/>
    <w:basedOn w:val="a0"/>
    <w:link w:val="ab"/>
    <w:uiPriority w:val="99"/>
    <w:semiHidden/>
    <w:rsid w:val="000F61CA"/>
    <w:rPr>
      <w:rFonts w:ascii="Tahoma" w:eastAsia="Times New Roman" w:hAnsi="Tahoma" w:cs="Tahoma"/>
      <w:sz w:val="16"/>
      <w:szCs w:val="16"/>
      <w:lang w:eastAsia="ru-RU"/>
    </w:rPr>
  </w:style>
  <w:style w:type="character" w:customStyle="1" w:styleId="10">
    <w:name w:val="Заголовок 1 Знак"/>
    <w:basedOn w:val="a0"/>
    <w:link w:val="1"/>
    <w:uiPriority w:val="9"/>
    <w:rsid w:val="00C10517"/>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5290739">
      <w:bodyDiv w:val="1"/>
      <w:marLeft w:val="0"/>
      <w:marRight w:val="0"/>
      <w:marTop w:val="0"/>
      <w:marBottom w:val="0"/>
      <w:divBdr>
        <w:top w:val="none" w:sz="0" w:space="0" w:color="auto"/>
        <w:left w:val="none" w:sz="0" w:space="0" w:color="auto"/>
        <w:bottom w:val="none" w:sz="0" w:space="0" w:color="auto"/>
        <w:right w:val="none" w:sz="0" w:space="0" w:color="auto"/>
      </w:divBdr>
    </w:div>
    <w:div w:id="549420579">
      <w:bodyDiv w:val="1"/>
      <w:marLeft w:val="0"/>
      <w:marRight w:val="0"/>
      <w:marTop w:val="0"/>
      <w:marBottom w:val="0"/>
      <w:divBdr>
        <w:top w:val="none" w:sz="0" w:space="0" w:color="auto"/>
        <w:left w:val="none" w:sz="0" w:space="0" w:color="auto"/>
        <w:bottom w:val="none" w:sz="0" w:space="0" w:color="auto"/>
        <w:right w:val="none" w:sz="0" w:space="0" w:color="auto"/>
      </w:divBdr>
    </w:div>
    <w:div w:id="727874235">
      <w:bodyDiv w:val="1"/>
      <w:marLeft w:val="0"/>
      <w:marRight w:val="0"/>
      <w:marTop w:val="0"/>
      <w:marBottom w:val="0"/>
      <w:divBdr>
        <w:top w:val="none" w:sz="0" w:space="0" w:color="auto"/>
        <w:left w:val="none" w:sz="0" w:space="0" w:color="auto"/>
        <w:bottom w:val="none" w:sz="0" w:space="0" w:color="auto"/>
        <w:right w:val="none" w:sz="0" w:space="0" w:color="auto"/>
      </w:divBdr>
    </w:div>
    <w:div w:id="1072659486">
      <w:bodyDiv w:val="1"/>
      <w:marLeft w:val="0"/>
      <w:marRight w:val="0"/>
      <w:marTop w:val="0"/>
      <w:marBottom w:val="0"/>
      <w:divBdr>
        <w:top w:val="none" w:sz="0" w:space="0" w:color="auto"/>
        <w:left w:val="none" w:sz="0" w:space="0" w:color="auto"/>
        <w:bottom w:val="none" w:sz="0" w:space="0" w:color="auto"/>
        <w:right w:val="none" w:sz="0" w:space="0" w:color="auto"/>
      </w:divBdr>
    </w:div>
    <w:div w:id="1097676934">
      <w:bodyDiv w:val="1"/>
      <w:marLeft w:val="0"/>
      <w:marRight w:val="0"/>
      <w:marTop w:val="0"/>
      <w:marBottom w:val="0"/>
      <w:divBdr>
        <w:top w:val="none" w:sz="0" w:space="0" w:color="auto"/>
        <w:left w:val="none" w:sz="0" w:space="0" w:color="auto"/>
        <w:bottom w:val="none" w:sz="0" w:space="0" w:color="auto"/>
        <w:right w:val="none" w:sz="0" w:space="0" w:color="auto"/>
      </w:divBdr>
    </w:div>
    <w:div w:id="112670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Morozova</cp:lastModifiedBy>
  <cp:revision>2</cp:revision>
  <cp:lastPrinted>2017-12-08T14:59:00Z</cp:lastPrinted>
  <dcterms:created xsi:type="dcterms:W3CDTF">2017-12-26T12:53:00Z</dcterms:created>
  <dcterms:modified xsi:type="dcterms:W3CDTF">2017-12-26T12:53:00Z</dcterms:modified>
</cp:coreProperties>
</file>